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جميع
</w:t>
      </w:r>
    </w:p>
    <w:p>
      <w:pPr>
        <w:jc w:val="start"/>
        <w:bidi/>
      </w:pPr>
      <w:r>
        <w:rPr>
          <w:rFonts w:ascii="arial" w:hAnsi="arial" w:eastAsia="arial" w:cs="arial"/>
          <w:sz w:val="28"/>
          <w:szCs w:val="28"/>
          <w:b w:val="1"/>
          <w:bCs w:val="1"/>
          <w:rtl/>
        </w:rPr>
        <w:t xml:space="preserve">ابن جميع
</w:t>
      </w:r>
    </w:p>
    <w:p>
      <w:pPr/>
      <w:r>
        <w:rPr/>
        <w:t xml:space="preserve">ابن جميع  مجلي بن جميع بن نجا، القرشي المخزومي الأرسوفي الأصل، المصري المسكن والوفاة، أبو المعالي: قاض فقيه. تولى قضاء الديار المصرية سنة 547 هـ ، واستمر نحو سنتين. وعزل لتغير الملوك. من كتبه ’’الذخائر’’ مبسوط في فقه الشافعية، قال الأسنوى: كثير الفروع والغرائب إلا أن ترتيبه غير معهود، متعب لمن يريد استخراجه المسائل منه، وفيه أيضا أوهام؛ و’’العمدة’’ في أدب القضاء. </w:t>
      </w:r>
    </w:p>
    <w:p>
      <w:pPr>
        <w:jc w:val="start"/>
        <w:bidi/>
      </w:pPr>
      <w:r>
        <w:rPr>
          <w:sz w:val="24"/>
          <w:szCs w:val="24"/>
          <w:b w:val="1"/>
          <w:bCs w:val="1"/>
          <w:rtl/>
        </w:rPr>
        <w:t xml:space="preserve">
الأعلام،(دار العلم للملايين - بيروت،2002،ط 15،ج 5،ص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مجلي قاضي مصر الأرسوفي
</w:t>
      </w:r>
    </w:p>
    <w:p>
      <w:pPr/>
      <w:r>
        <w:rPr/>
        <w:t xml:space="preserve">مجلي قاضي مصر الأرسوفي مجلي بن جميع بن نجا أبو المعالي قاضي القضاة القرشي المخزومي الأرسوفي - بضم الهمزة والسين المهملة، وسكون الواو وبعدها فاء - ولي قضاء مصر بتفويض من العادل ابن السلار، وصنف كتاب (الذخائر في الفقه)، وهو من الكتب المعتبرة، وجمع فيه شيئا كثيرا من المذهب، توفي سنة 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مجلي
</w:t>
      </w:r>
    </w:p>
    <w:p>
      <w:pPr/>
      <w:r>
        <w:rPr/>
        <w:t xml:space="preserve">مجلي شيخ الشافعية بمصر، أبو المعالي، مجلي بن جميع بن نجا القرشي المخزومي الأرسوفي الشامي، ثم المصري، مصنف كتاب ’’الذخائر’’ وهو من كتب المذهب المعتبرة.</w:t>
      </w:r>
    </w:p>
    <w:p/>
    <w:p>
      <w:pPr/>
      <w:r>
        <w:rPr/>
        <w:t xml:space="preserve">ولي قضاء مصر بتفويض من العادل بن السلار سنة سبع وأربعين، ثم عزل بعد سنتين.</w:t>
      </w:r>
    </w:p>
    <w:p/>
    <w:p>
      <w:pPr/>
      <w:r>
        <w:rPr/>
        <w:t xml:space="preserve">مات في ذي القعدة سنة خمسين وخمس مائة.</w:t>
      </w:r>
    </w:p>
    <w:p/>
    <w:p>
      <w:pPr/>
      <w:r>
        <w:rPr/>
        <w:t xml:space="preserve">وفي كتابه مخبآت لا توجد في غيره.</w:t>
      </w:r>
    </w:p>
    <w:p>
      <w:pPr>
        <w:jc w:val="start"/>
        <w:bidi/>
      </w:pPr>
      <w:r>
        <w:rPr>
          <w:sz w:val="24"/>
          <w:szCs w:val="24"/>
          <w:b w:val="1"/>
          <w:bCs w:val="1"/>
          <w:rtl/>
        </w:rPr>
        <w:t xml:space="preserve">
سير أعلام النبلاء،(دار الحديث- القاهرة،2006،ط 1،ج 15،ص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مجلي بن جميع بضم الجيم بن نجا المخزومي قاضي القضاة أبو المعالي
</w:t>
      </w:r>
    </w:p>
    <w:p>
      <w:pPr/>
      <w:r>
        <w:rPr/>
        <w:t xml:space="preserve">مجلي بن جميع بضم الجيم بن نجا المخزومي قاضي القضاة أبو المعالي صاحب الذخائر وغيره من المصنفات له إثبات الجهر ببسم الله الرحمن الرحيم والكلام على مسألة الدور وغيرهما</w:t>
      </w:r>
    </w:p>
    <w:p/>
    <w:p>
      <w:pPr/>
      <w:r>
        <w:rPr/>
        <w:t xml:space="preserve">كان من أئمة الأصحاب وكبار الفقهاء وإليه ترجع الفتيا بديار مصر</w:t>
      </w:r>
    </w:p>
    <w:p/>
    <w:p>
      <w:pPr/>
      <w:r>
        <w:rPr/>
        <w:t xml:space="preserve">قال ابن القليوبي في كتاب العلم الظاهر سمعت الشيخ الحافظ زكي الدين عبد العظيم يقول عن الشيخ أبي المعالي مجلي إنه تفقه من غير شيخ قال وقال الشيخ يعني الحافظ عبد العظيم وكان يعني القاضي مجليا يمشي في جبانة القرافة وهو يطالع ويزور فإذا كان بعد العصر أسند ظهره إلى المقطم واستقبل البركة وأمر على خاطره ما طالعه في نهاره</w:t>
      </w:r>
    </w:p>
    <w:p/>
    <w:p>
      <w:pPr/>
      <w:r>
        <w:rPr/>
        <w:t xml:space="preserve">قال عبد العظيم وكان القاضي مجلي استعار كتاب البسيط عارية مؤقتة وهي مده قريبة جدا ولعلها لكل جزء يومان وكان يصلي الفرائض خاصة ويشتغل بالنسخ ويقال إنه بسبب هذه السرعة جاء في بعض المواضع من كتاب الذخائر خلل في النقل عن البسيط وكان جيد الحفظ حسن التعليق</w:t>
      </w:r>
    </w:p>
    <w:p/>
    <w:p>
      <w:pPr/>
      <w:r>
        <w:rPr/>
        <w:t xml:space="preserve">قال ابن القليوبي ورأيت هذه النسخة وابتيعت بثمن كثير لنسبتها إليه</w:t>
      </w:r>
    </w:p>
    <w:p/>
    <w:p>
      <w:pPr/>
      <w:r>
        <w:rPr/>
        <w:t xml:space="preserve">قال ابن القيلوبي وكان مجلي قبل القضاء يسكن قليوب</w:t>
      </w:r>
    </w:p>
    <w:p/>
    <w:p>
      <w:pPr/>
      <w:r>
        <w:rPr/>
        <w:t xml:space="preserve">قال وسمعت والدي يقول إنه لما ولى القضاء توجه إلى زيارته الشيخ أبو إسحاق وابن أبي الأشبال فوجداه وقد قدم له مركوب من جهة الخليفة على هيئة تخص الحكام وكان لحكام المصريين هيئة خاصة وكذلك لشهودهم فلما خرج نفض السرج بكمه وقبله وركب فلما رأيا ذلك منه رجعا ولم يجتمعا به فاتصل به ذلك عنهما فقال والله لم أدخل في الحكم إلا الضرورة ولقد بعد عهد أهلي باللحم فأخذت لهم منه فما هو إلا أن وضعوا أيديهم مرة ثم لم يضعوها ثانية يشير إلى كثرة العيال وقلة الطعام</w:t>
      </w:r>
    </w:p>
    <w:p/>
    <w:p>
      <w:pPr/>
      <w:r>
        <w:rPr/>
        <w:t xml:space="preserve">قال شيخنا الذهبي كانت ولايته قضاء مصر في سنة سبع وأربعين وخمسمائة بتفويض من العادل ابن السلار سلطان مصر ووزيرها ثم عزل قبل موته ومات في ذي القعدة سنة خمسين وخمسمائة</w:t>
      </w:r>
    </w:p>
    <w:p/>
    <w:p>
      <w:pPr/>
      <w:r>
        <w:rPr/>
        <w:t xml:space="preserve">ومن المسائل عنه</w:t>
      </w:r>
    </w:p>
    <w:p/>
    <w:p>
      <w:pPr/>
      <w:r>
        <w:rPr/>
        <w:t xml:space="preserve">وقد رتب كتابه الذخائر على سلك لم يسبق إليه وباب التفليس فيه وباب الحجر بعد كتاب القضاء</w:t>
      </w:r>
    </w:p>
    <w:p/>
    <w:p>
      <w:pPr/>
      <w:r>
        <w:rPr/>
        <w:t xml:space="preserve">قال في الذخائر ومنه في كتاب التعزير نقلته وأما قدره يعني التعزير قال الشاشي في الحلية الناس على أربع رتب التعزير بالكلام ثم بالحبس ثم بالنفي ثم بالضرب</w:t>
      </w:r>
    </w:p>
    <w:p/>
    <w:p>
      <w:pPr/>
      <w:r>
        <w:rPr/>
        <w:t xml:space="preserve">فقال في باب الأقضية واليمين مع الشاهد مدعي المال إذا قدر على إثبات حقه بالخيار بين ثلاثة أشياء إحداها أن يثبته بشاهدين وهو أقوالها فيحكم له المال</w:t>
      </w:r>
    </w:p>
    <w:p/>
    <w:p>
      <w:pPr/>
      <w:r>
        <w:rPr/>
        <w:t xml:space="preserve">والثاني أن يثبته بشاهد وامرأتين فيحكم له بالمال وإن قدر على الشاهدين</w:t>
      </w:r>
    </w:p>
    <w:p/>
    <w:p>
      <w:pPr/>
      <w:r>
        <w:rPr/>
        <w:t xml:space="preserve">وقال مالك لا يجوز أن يحكم له المال بالشاهد والمرأتين إلا مع عدم الشاهدين انتهى</w:t>
      </w:r>
    </w:p>
    <w:p/>
    <w:p>
      <w:pPr/>
      <w:r>
        <w:rPr/>
        <w:t xml:space="preserve">ونقل ابن المنذر الإجماع على عدم اشتراط فقدان الشاهدين</w:t>
      </w:r>
    </w:p>
    <w:p/>
    <w:p>
      <w:pPr/>
      <w:r>
        <w:rPr/>
        <w:t xml:space="preserve">قال في الذخائر في كتاب الشهادات ما يثبت بشاهد واحد هلال رمضان ليس سواه قال القاضي شهاب الدين بن شداد لقد عجبت من صاحب الذخائر في هذا الكلام وقد تقدم تقريره أنه إذا أقام شاهدا واحدا استحق الحيلولة والوقف به في صور متعددة وهو حق يثبت بالشاهد الواحد ولعله أراد بذلك أن هذه أمور تابعة لحقوق لا أنها مقصودة انتهى</w:t>
      </w:r>
    </w:p>
    <w:p/>
    <w:p>
      <w:pPr/>
      <w:r>
        <w:rPr/>
        <w:t xml:space="preserve">قلت لقد عجبت من ابن شداد في هذا الكلام فإن الشاهد الواحد على القول بالحيلولة والوقف به لا يثبت به الحق المدعى إنما هي حيولة ووقف عين وهذا لم ينفرد به صاحب الذخائر فإن كان ابن شداد ظن أنه تقدم من صاحب الذخائر الحكم بشاهد واحد في صور متعددة فليس كما ظن وإنما تقدم فيه الحيلولة بشاهد واحد وليس هو من الحكم بشيء وكلامه قويم وتعجب ابن شداد عجيب وما قاله مجلي قاله الناس كلهم ثم طريق الرد عليه ببيان صور يحكم فيها بشاهد واحد إما على الصحيح أو على رأي ضعيف وقد أوردناها في كتابنا التوشيح عند كلامنا على قول المنهاج لا يحكم بشاهد واحد إلا في هلال رمضان في الأظهر</w:t>
      </w:r>
    </w:p>
    <w:p/>
    <w:p>
      <w:pPr/>
      <w:r>
        <w:rPr/>
        <w:t xml:space="preserve">منها لو شهد عدل واحد بإسلام من عهدناه</w:t>
      </w:r>
    </w:p>
    <w:p/>
    <w:p>
      <w:pPr/>
      <w:r>
        <w:rPr/>
        <w:t xml:space="preserve">ذميا قبل موته فإنه لا يحكم بإسلامه بالنسبة إلى الميراث فلا يرث منه المسلم ولا يحرم منه الكافر وهل يثبت بالنسبة إلى وجوب الصلاة عليه وجهان بناهما المتولي على الخلاف في لزوم رمضان بواحد لتضمن ذلك إيجاب عبادة ومنها هلال ذي الحجة على وجه ومنها هلال شوال على قول أبي ثور وقال صاحب التقريب لو قلت به لم أكن مبعدا ورأى الإمام اتجاهه</w:t>
      </w:r>
    </w:p>
    <w:p/>
    <w:p>
      <w:pPr/>
      <w:r>
        <w:rPr/>
        <w:t xml:space="preserve">ومنها قال البغوي في التهذيب وتابعه غيره إن العيب يقبل فيه الرجل الواحد ويثبت به الرد لكن في التتمة خلافه</w:t>
      </w:r>
    </w:p>
    <w:p/>
    <w:p>
      <w:pPr/>
      <w:r>
        <w:rPr/>
        <w:t xml:space="preserve">ومنها إذا نذر صوم شعبان فشهد واحد باستهلال هلاله فوجهان عن البحر يبنيان على أن النذر يسلك به مسلك واجب الشرع أم جائزة ومنها العون إذا أخبر الحاكم بامتناع الغريم من الحضور اكتفى به في تأديبه</w:t>
      </w:r>
    </w:p>
    <w:p/>
    <w:p>
      <w:pPr/>
      <w:r>
        <w:rPr/>
        <w:t xml:space="preserve">ومنها إذا ادعى الخصم امتناعه فشهد به واحد فقد قيل يكتفى به والأشبه في المسألتين أن ذلك من باب الخبر لا الشهادة فلا يكون مما نحن فيه</w:t>
      </w:r>
    </w:p>
    <w:p/>
    <w:p>
      <w:pPr/>
      <w:r>
        <w:rPr/>
        <w:t xml:space="preserve">ومنها صورة أوردها الشيخ برهان الدين بن الفركاح في تعليقته على التنبيه وفي حواشيه على المنهاج ونقلها عن الحاوي فقال ذكر الماوردي في الباب الثاني من كتاب الشهادة في الكلام على ما يكون به عدلا ما لفظه والثالث أن يشهد ببلوغه شاهد عدل فيحكم ببلوغه وتكون شهادة لا خبرا انتهى</w:t>
      </w:r>
    </w:p>
    <w:p/>
    <w:p>
      <w:pPr/>
      <w:r>
        <w:rPr/>
        <w:t xml:space="preserve">وقد رأيته في الحاوي في النسخة التي نقل منها الشيخ برهان الدين وهي وقف المدرسة البادرائية ولفظه كما ذكره وها أنا أحكيه مع ما قبله وما بعده لوقوع</w:t>
      </w:r>
    </w:p>
    <w:p/>
    <w:p>
      <w:pPr/>
      <w:r>
        <w:rPr/>
        <w:t xml:space="preserve">الاضطراب فيه قال الماوردي ومن النسخة التي نقل منها ابن الفركاح نقلته في التوصل إلى معرفة البلوغ ما نصه علم الحاكم ببلوغه يكون من أحد أربعة أوجه أحدها أن تظهر عليه شواهد البلوغ بالإنبات إذا جعل الإنبات في المسلمين بلوغا</w:t>
      </w:r>
    </w:p>
    <w:p/>
    <w:p>
      <w:pPr/>
      <w:r>
        <w:rPr/>
        <w:t xml:space="preserve">والثاني أن يعرف الحاكم سنة فيحكم ببلوغه إذا استكمل سن البلوغ</w:t>
      </w:r>
    </w:p>
    <w:p/>
    <w:p>
      <w:pPr/>
      <w:r>
        <w:rPr/>
        <w:t xml:space="preserve">والثالث أن يشهد ببلوغه عنده شاهد عدل فيحكم ببلوغه ويكون شهادة لا خبرا</w:t>
      </w:r>
    </w:p>
    <w:p/>
    <w:p>
      <w:pPr/>
      <w:r>
        <w:rPr/>
        <w:t xml:space="preserve">والرابع أن يقول الغلام قد بلغت فيحكم ببلوغه بقوله لأنه قد يبلغ بالاحتلام الذي لا يعلم من جهته لأنه تتغلظ أحكامه بتوجه التكليف إليه فكان غير متهم فيه انتهى</w:t>
      </w:r>
    </w:p>
    <w:p/>
    <w:p>
      <w:pPr/>
      <w:r>
        <w:rPr/>
        <w:t xml:space="preserve">وقد ذكره الروياني في البحر كذلك إلا أنه قال شاهدا عدل فمن ثم جوزنا أن تكون الألف ساقطة من لفظ الحاوي لكوننا وجدناها ثابتة في لفظ البحر وهذا يكاد يحكي لفظه كثيرا وسقوط ألف واحدة هين لكن أوقفنا عن ذلك أن في الحاوي والبحر كليهما ويكون شهادة لا خبرا ومع قيام الشاهدين لا يحتاج إلى هذا الكلام وبالجملة في اللفظ اضطراب ولا يتأتى إيراد الشيخ برهان الدين إلا على تقدير سقوط الألف وفيه وقفة</w:t>
      </w:r>
    </w:p>
    <w:p/>
    <w:p>
      <w:pPr/>
      <w:r>
        <w:rPr/>
        <w:t xml:space="preserve">قال في الذخائر في أوائل باب تحمل الشهادة بعدما حكى الوجهين في أن تحملها في غير النكاح هل هو فرض كفاية أو سنة ما لفظه قال بعض أصحابنا ووجه التردد نشأ من الآية وهو قوله تعالى </w:t>
      </w:r>
    </w:p>
    <w:p>
      <w:pPr/>
      <w:r>
        <w:rPr>
          <w:color w:val="0000ff"/>
        </w:rPr>
        <w:t xml:space="preserve">{ولا يأب الشهداء إذا ما دعوا}</w:t>
      </w:r>
    </w:p>
    <w:p>
      <w:pPr/>
      <w:r>
        <w:rPr/>
        <w:t xml:space="preserve"> فمنهم من حملها على الأداء ومنهم من حملها على التحمل قال القاضي مجلي وهذا فيه نظر ثم لقائل</w:t>
      </w:r>
    </w:p>
    <w:p/>
    <w:p>
      <w:pPr/>
      <w:r>
        <w:rPr/>
        <w:t xml:space="preserve">أن يقول إنها عامة فيهما لأنه قد يحتاج إلى دعائه فيهما فهو مأمور بإجابته في الحالتين</w:t>
      </w:r>
    </w:p>
    <w:p/>
    <w:p>
      <w:pPr/>
      <w:r>
        <w:rPr/>
        <w:t xml:space="preserve">انتهى</w:t>
      </w:r>
    </w:p>
    <w:p/>
    <w:p>
      <w:pPr/>
      <w:r>
        <w:rPr/>
        <w:t xml:space="preserve">وقد يقول من يدعي تخصيصها بالأداء إن اسم الشاهد حقيقة لا يطلق على من لم يتحمل</w:t>
      </w:r>
    </w:p>
    <w:p/>
    <w:p>
      <w:pPr/>
      <w:r>
        <w:rPr/>
        <w:t xml:space="preserve">قال في الذخائر في مسح الخف أنه لا يجوز المسح على الخف التي أصابته نجاسة حتى يطهر لأنه لا تجوز الصلاة معه فلا يجوز المسح عليه وهذا أيضا ذكره النووي في شرح المهذب ولعله أخذه من الذخائر وهو شيء عجيب لا يساعده منقول ولا معقول وإنما الذي منعه الأصحاب المسح على نجس العين أم المتنجس فلا يمنع المسح عليه بل يصح ثم يصير المانع من الصلاة بوجود متنجس فيغسله ويصلي فيه وبذلك صرح الشيخ أبو محمد في التبصرة فقال وإذا كان الخف نجسا فلا تصح الصلاة معه لنجاسته والمسح عليه صحيح حتى إذا مسح عليه أولا ثم أراد حمل المصحف أومسه كان ذلك مباحا ولكن الصلاة لا تباح وعلى الخف نجاسة لأن النجاسة على البدن أو الثوب لا تتداعى إلى فساد الوضوء فكذلك الخف انتهى</w:t>
      </w:r>
    </w:p>
    <w:p/>
    <w:p>
      <w:pPr/>
      <w:r>
        <w:rPr/>
        <w:t xml:space="preserve">وليس في الرافعي إلا أن الخف من كلب أو ميتة قبل الدباغ لا يجوز المسح عليه وذلك مخصوص بنجس العين لا المتنجس بل لو قال قائل لا منافاة بين صحة المسح والنجاسة ولو عينيه فيصح المسح ثم تمنع الصلاة للنجاسة لساعدته عبارة التبصرة</w:t>
      </w:r>
    </w:p>
    <w:p>
      <w:pPr>
        <w:jc w:val="start"/>
        <w:bidi/>
      </w:pPr>
      <w:r>
        <w:rPr>
          <w:sz w:val="24"/>
          <w:szCs w:val="24"/>
          <w:b w:val="1"/>
          <w:bCs w:val="1"/>
          <w:rtl/>
        </w:rPr>
        <w:t xml:space="preserve">
طبقات الشافعية الكبرى،(دار هجر - القاهرة،1992،ط 2،ج 7،ص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2026-10-02T19:03:37+03:00</dcterms:created>
  <dcterms:modified xsi:type="dcterms:W3CDTF">2026-10-02T19:03:37+03:00</dcterms:modified>
</cp:coreProperties>
</file>

<file path=docProps/custom.xml><?xml version="1.0" encoding="utf-8"?>
<Properties xmlns="http://schemas.openxmlformats.org/officeDocument/2006/custom-properties" xmlns:vt="http://schemas.openxmlformats.org/officeDocument/2006/docPropsVTypes"/>
</file>