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المبارك بن شرارة
</w:t>
      </w:r>
    </w:p>
    <w:p>
      <w:pPr>
        <w:jc w:val="start"/>
        <w:bidi/>
      </w:pPr>
      <w:r>
        <w:rPr>
          <w:rFonts w:ascii="arial" w:hAnsi="arial" w:eastAsia="arial" w:cs="arial"/>
          <w:sz w:val="28"/>
          <w:szCs w:val="28"/>
          <w:b w:val="1"/>
          <w:bCs w:val="1"/>
          <w:rtl/>
        </w:rPr>
        <w:t xml:space="preserve">المبارك بن شرارة
</w:t>
      </w:r>
    </w:p>
    <w:p>
      <w:pPr/>
      <w:r>
        <w:rPr/>
        <w:t xml:space="preserve">المبارك بن شرارة  المبارك بن شرارة، أبو الخير: طبيب، من الكتاب. ولد ونشأ في حلب. ولما دخلتها دولة الترك رحل إلى أنطاكية، ومنها إلى صور، فاستوطنها إلى أن توفي. له كتاب في ’’التاريخ’’ ذكر فيه حوادث ما قرب من أيامه. وكانت له ’’جرائد’’ مشهورة عند أهل حلب يحفظونها لمعرفة الخراج المستقر على الضياع. </w:t>
      </w:r>
    </w:p>
    <w:p>
      <w:pPr>
        <w:jc w:val="start"/>
        <w:bidi/>
      </w:pPr>
      <w:r>
        <w:rPr>
          <w:sz w:val="24"/>
          <w:szCs w:val="24"/>
          <w:b w:val="1"/>
          <w:bCs w:val="1"/>
          <w:rtl/>
        </w:rPr>
        <w:t xml:space="preserve">
الأعلام،(دار العلم للملايين - بيروت،2002،ط 15،ج 5،ص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2026-07-28T04:28:47+03:00</dcterms:created>
  <dcterms:modified xsi:type="dcterms:W3CDTF">2026-07-28T04:28:47+03:00</dcterms:modified>
</cp:coreProperties>
</file>

<file path=docProps/custom.xml><?xml version="1.0" encoding="utf-8"?>
<Properties xmlns="http://schemas.openxmlformats.org/officeDocument/2006/custom-properties" xmlns:vt="http://schemas.openxmlformats.org/officeDocument/2006/docPropsVTypes"/>
</file>