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w:t>
      </w:r>
    </w:p>
    <w:p>
      <w:pPr>
        <w:jc w:val="start"/>
        <w:bidi/>
      </w:pPr>
      <w:r>
        <w:rPr>
          <w:rFonts w:ascii="arial" w:hAnsi="arial" w:eastAsia="arial" w:cs="arial"/>
          <w:sz w:val="28"/>
          <w:szCs w:val="28"/>
          <w:b w:val="1"/>
          <w:bCs w:val="1"/>
          <w:rtl/>
        </w:rPr>
        <w:t xml:space="preserve">شهاب الدين
</w:t>
      </w:r>
    </w:p>
    <w:p>
      <w:pPr/>
      <w:r>
        <w:rPr/>
        <w:t xml:space="preserve">شهاب الدين عبد الحليم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w:t>
      </w:r>
    </w:p>
    <w:p>
      <w:pPr/>
      <w:r>
        <w:rPr/>
        <w:t xml:space="preserve">شهاب الدين عبد الحليم بن عبد السلام بن عبد الله بن أبي القاسم، الإمام المفتي المتفنن شهاب الدين ابن العلامة أبي البركات ابن تيمية الحراني الحنبلي، نزيل دمشق والد الشيخ تقي الدين رحمهما الله. </w:t>
      </w:r>
    </w:p>
    <w:p/>
    <w:p>
      <w:pPr/>
      <w:r>
        <w:rPr/>
        <w:t xml:space="preserve">ولد سنة سبع وعشرين وست مائة، وتوفي سنة اثنتين وثمانين وست مائة. سمع من ابن اللتي وأبي القاسم ابن رواحة، وحامد بن أميرتن، وعلي ابن الفتح الكيماري، وابن خليل وعيسى الخياط. وقرأ المذهب وأتقنه على والده، ودرس وأفتى وصنف وصار شيخ البلد بعد أبيه. وكان محققا لما ينقله جيد المشاركة في العلوم، له يد طولى في الفرائض والحساب والهيئة، وكان دينا خيرا، تفقه عليه ولداه الشيخ تقي الدين وأخوه، وهاجر بأهله إلى دمشق سنة سبع وستين ودفن بمقابر الصوفية.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2026-08-25T10:07:56+03:00</dcterms:created>
  <dcterms:modified xsi:type="dcterms:W3CDTF">2026-08-25T10:07:56+03:00</dcterms:modified>
</cp:coreProperties>
</file>

<file path=docProps/custom.xml><?xml version="1.0" encoding="utf-8"?>
<Properties xmlns="http://schemas.openxmlformats.org/officeDocument/2006/custom-properties" xmlns:vt="http://schemas.openxmlformats.org/officeDocument/2006/docPropsVTypes"/>
</file>