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تكين متولي مصر ودمشق
</w:t>
      </w:r>
    </w:p>
    <w:p>
      <w:pPr>
        <w:jc w:val="start"/>
        <w:bidi/>
      </w:pPr>
      <w:r>
        <w:rPr>
          <w:rFonts w:ascii="arial" w:hAnsi="arial" w:eastAsia="arial" w:cs="arial"/>
          <w:sz w:val="28"/>
          <w:szCs w:val="28"/>
          <w:b w:val="1"/>
          <w:bCs w:val="1"/>
          <w:rtl/>
        </w:rPr>
        <w:t xml:space="preserve">تكين متولي مصر ودمشق
</w:t>
      </w:r>
    </w:p>
    <w:p>
      <w:pPr/>
      <w:r>
        <w:rPr/>
        <w:t xml:space="preserve">تكين متولي مصر ودمشق تكين بن عبد الله أبو منصور الخزري، مولى المعتضد أمير المؤمنين؛ يعرف بتكين الخاصة. ولاه الإمام المقتدر مصر بعد وفاة عيسى النوشري سنة سبع وتسعين ومائتين، فأقام بها إلى سنة اثنتين وثلاث مائة ثم عزل عنها وولي الإمارة بدمشق، فقدمها في المحرم سنة ثلاث وثلاث مائة، ثم عزل عنها سنة سبع وثلاث مائة وولي مصر ثانيا سنة تسع وثلاث مائة، ثم عزل عنها سنة إحدى عشرة. ثم ولي مصر، ولم يزل عليها إلى أن قتل المقتدر سنة عشرين وثلاث مائة فأقره القاهر عليها إلى أن توفي تكين بمصر سنة إحدى وعشرين وثلاث مائة. وقد روى عن يوسف بن يعقوب القاضي، وروى عنه علي بن أحمد بن رستم المادرائي.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2026-08-24T10:04:24+03:00</dcterms:created>
  <dcterms:modified xsi:type="dcterms:W3CDTF">2026-08-24T10:04:24+03:00</dcterms:modified>
</cp:coreProperties>
</file>

<file path=docProps/custom.xml><?xml version="1.0" encoding="utf-8"?>
<Properties xmlns="http://schemas.openxmlformats.org/officeDocument/2006/custom-properties" xmlns:vt="http://schemas.openxmlformats.org/officeDocument/2006/docPropsVTypes"/>
</file>