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
</w:t>
      </w:r>
    </w:p>
    <w:p>
      <w:pPr/>
      <w:r>
        <w:rPr/>
        <w:t xml:space="preserve">العنبري بيان العنبري، من شعراء خراسان؛ يقول في قتل قتيبة بن مسلم: </w:t>
      </w:r>
    </w:p>
    <w:p/>
    <w:p>
      <w:pPr>
        <w:jc w:val="center"/>
      </w:pPr>
      <w:r>
        <w:rPr>
          <w:color w:val="ff0000"/>
        </w:rPr>
        <w:t xml:space="preserve">فقل للباهلي أليس جهلا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بكاؤك من قضا دين الغريم</w:t>
      </w:r>
    </w:p>
    <w:p/>
    <w:p>
      <w:pPr>
        <w:jc w:val="center"/>
      </w:pPr>
      <w:r>
        <w:rPr>
          <w:color w:val="ff0000"/>
        </w:rPr>
        <w:t xml:space="preserve">أتجزع إن أسابك ما لقينا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الأحداث والدهر الغشوم</w:t>
      </w:r>
    </w:p>
    <w:p/>
    <w:p>
      <w:pPr>
        <w:jc w:val="center"/>
      </w:pPr>
      <w:r>
        <w:rPr>
          <w:color w:val="ff0000"/>
        </w:rPr>
        <w:t xml:space="preserve">أرادوا قسمة ضيزى وأنا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لنا في قسمة الحق الظلوم</w:t>
      </w:r>
    </w:p>
    <w:p/>
    <w:p>
      <w:pPr>
        <w:jc w:val="center"/>
      </w:pPr>
      <w:r>
        <w:rPr>
          <w:color w:val="ff0000"/>
        </w:rPr>
        <w:t xml:space="preserve">قددنا بالمثال أديم قيس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سبقوا إلى قد الأديم</w:t>
      </w:r>
    </w:p>
    <w:p/>
    <w:p>
      <w:pPr>
        <w:jc w:val="center"/>
      </w:pPr>
      <w:r>
        <w:rPr>
          <w:color w:val="ff0000"/>
        </w:rPr>
        <w:t xml:space="preserve">جزيناهم بما اصطنعوا إلينا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وكل غير ذي بقيا رحيم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2026-07-28T11:53:52+03:00</dcterms:created>
  <dcterms:modified xsi:type="dcterms:W3CDTF">2026-07-28T11:53:52+03:00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