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مسجد حارة الخاطب
</w:t>
      </w:r>
    </w:p>
    <w:p>
      <w:pPr>
        <w:jc w:val="start"/>
        <w:bidi/>
      </w:pPr>
      <w:r>
        <w:rPr>
          <w:rFonts w:ascii="arial" w:hAnsi="arial" w:eastAsia="arial" w:cs="arial"/>
          <w:sz w:val="28"/>
          <w:szCs w:val="28"/>
          <w:b w:val="1"/>
          <w:bCs w:val="1"/>
          <w:rtl/>
        </w:rPr>
        <w:t xml:space="preserve">إمام مسجد حارة الخاطب
</w:t>
      </w:r>
    </w:p>
    <w:p>
      <w:pPr/>
      <w:r>
        <w:rPr/>
        <w:t xml:space="preserve">إمام مسجد حارة الخاطب أبو بكر بن أحمد بن عمر البغدادي الزاهد إمام مسجد حارة الخاطب بدمشق؛ كان صاحب عبادة ومجاهدة. سمع بمصر من محمود بن محمد الصابوني وبدمشق من إسماعيل الجنزوري والكندي. وكان يعرف بالمراوحي. قال الشيخ شمس الدين: وروى لنا عنه بالإجازة أبو المعالي بن البالسي؛ قال عمر بن الحاجب: سألت شيخنا الضياء عنه فقال: بلغني أنه جاور بمكة سنة، قرأ فيها ألف ختمة. وروى عنه أبو حامد بن الصابوني، وتوفي سنة ثلاث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2026-08-24T22:05:08+03:00</dcterms:created>
  <dcterms:modified xsi:type="dcterms:W3CDTF">2026-08-24T22:05:08+03:00</dcterms:modified>
</cp:coreProperties>
</file>

<file path=docProps/custom.xml><?xml version="1.0" encoding="utf-8"?>
<Properties xmlns="http://schemas.openxmlformats.org/officeDocument/2006/custom-properties" xmlns:vt="http://schemas.openxmlformats.org/officeDocument/2006/docPropsVTypes"/>
</file>