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أنص نائب بهسني
</w:t>
      </w:r>
    </w:p>
    <w:p>
      <w:pPr>
        <w:jc w:val="start"/>
        <w:bidi/>
      </w:pPr>
      <w:r>
        <w:rPr>
          <w:rFonts w:ascii="arial" w:hAnsi="arial" w:eastAsia="arial" w:cs="arial"/>
          <w:sz w:val="28"/>
          <w:szCs w:val="28"/>
          <w:b w:val="1"/>
          <w:bCs w:val="1"/>
          <w:rtl/>
        </w:rPr>
        <w:t xml:space="preserve">أنص نائب بهسني
</w:t>
      </w:r>
    </w:p>
    <w:p>
      <w:pPr/>
      <w:r>
        <w:rPr/>
        <w:t xml:space="preserve">أنص نائب بهسني أنص الأمير سيف الدين نائب بهسني. لما توجه الأمير بدر الدين مسعود بن الخطير من نيابة غزة إلى نيابة طرابلس في نوبة الأمير سيف الدين يلبغا اليحيوي نائب الشأم رسم للأمير سيف الدين أنص بنيابة غزة وحضر إليه من توجه به إلى غزة، ثم إنه طلب عقيب ذلك إلى باب السلطان وذلك في شهري جمادى الآخرة ورجب سنة ثمان وأربعين وسبعمائة. فأقام قليلا وجلس في المشور، ثم عاد إلى غزة مقدم عسكر على عادة نوابها. ثم رسم له بالتوجه إلى قلعة المسلمين نائبا في شهر ذي الحجة سنة ثمان وأربعين وسبعمائة، فتوجه إليها وأقام بها إلى أن توفي رحمه الله في يوم الأربعاء ثاني ذي الحجة سنة خمسين وسبعمائة.</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2026-08-25T10:12:27+03:00</dcterms:created>
  <dcterms:modified xsi:type="dcterms:W3CDTF">2026-08-25T10:12:27+03:00</dcterms:modified>
</cp:coreProperties>
</file>

<file path=docProps/custom.xml><?xml version="1.0" encoding="utf-8"?>
<Properties xmlns="http://schemas.openxmlformats.org/officeDocument/2006/custom-properties" xmlns:vt="http://schemas.openxmlformats.org/officeDocument/2006/docPropsVTypes"/>
</file>