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الأطهر سيد بغداد
</w:t>
      </w:r>
    </w:p>
    <w:p>
      <w:pPr>
        <w:jc w:val="start"/>
        <w:bidi/>
      </w:pPr>
      <w:r>
        <w:rPr>
          <w:rFonts w:ascii="arial" w:hAnsi="arial" w:eastAsia="arial" w:cs="arial"/>
          <w:sz w:val="28"/>
          <w:szCs w:val="28"/>
          <w:b w:val="1"/>
          <w:bCs w:val="1"/>
          <w:rtl/>
        </w:rPr>
        <w:t xml:space="preserve">الأطهر سيد بغداد
</w:t>
      </w:r>
    </w:p>
    <w:p>
      <w:pPr/>
      <w:r>
        <w:rPr/>
        <w:t xml:space="preserve">الأطهر سيد بغداد الأطهر بن محمد بن محمد بن زيد الحسني أبو الرضا السيد الأجل الحافظ المعروف بسيد بغداد، نزيل سمرقند‎. قال عبد الغافر: سيد السادات الفائق حشمته ودولته وماله وجاهه مطرد العادات، له السماع العالي والتصانيف الحسان في الحديث والشعر، وكان يضبط الولاية ويجبي الأموال ويجمع ويفرق، ثم إنه قد نصفين وعلق في السوق وأخذت أمواله وحرمه وخدمه سنة اثنتين وتسعين وأربعمائة. وقد تقدم ذكر والده الشريف المرتضى محمد بن محمد بن زيد في المحمدين، ورفع نسبه هناك إلى علي بن أبي طالب رضي الله عنه.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2026-08-25T10:14:04+03:00</dcterms:created>
  <dcterms:modified xsi:type="dcterms:W3CDTF">2026-08-25T10:14:04+03:00</dcterms:modified>
</cp:coreProperties>
</file>

<file path=docProps/custom.xml><?xml version="1.0" encoding="utf-8"?>
<Properties xmlns="http://schemas.openxmlformats.org/officeDocument/2006/custom-properties" xmlns:vt="http://schemas.openxmlformats.org/officeDocument/2006/docPropsVTypes"/>
</file>