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المالكي
</w:t>
      </w:r>
    </w:p>
    <w:p>
      <w:pPr/>
      <w:r>
        <w:rPr/>
        <w:t xml:space="preserve">المالكي أصبغ بن الفرج بن سعيد بن نافع الفقيه المالكي المصري أبو عبد الله، تفقه بابن القاسم وابن وهب وأشهب. وقال عبد الملك بن الماجشون: ما أخرجت مصر مثل أصبغ. قيل له: ولا ابن القاسم؟ قال: ولا ابن القاسم! وكان كاتب ابن وهب، وجده نافع عتيق عبد العزيز بن مروان بن الحكم الأموي. توفي سنة خمس وعشرين ومائتين، وقيل: سنة ست وعشرين. وروى عنه البخاري وروى عنه الترمذي والنسائي بواسطة. ذكره ابن معين فقال: كان من أعلم خلق الله بمذهب مالك. وقال العجلي: ثقة صاحب سنة. قيل: هو من ولد عبيد المسجد، كان بنو أمية يسيرون للمسجد عبيدا فهم من ولدهم.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2026-07-28T23:10:57+03:00</dcterms:created>
  <dcterms:modified xsi:type="dcterms:W3CDTF">2026-07-28T23:10:57+03:00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