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 الخزاعي
</w:t>
      </w:r>
    </w:p>
    <w:p>
      <w:pPr/>
      <w:r>
        <w:rPr/>
        <w:t xml:space="preserve">المدني الخزاعي الأصبغ بن عبد العزيز مولى خزاعة، هو القائل يمدح جعفر بن سليمان الهاشمي:</w:t>
      </w:r>
    </w:p>
    <w:p/>
    <w:p>
      <w:pPr>
        <w:jc w:val="center"/>
      </w:pPr>
      <w:r>
        <w:rPr>
          <w:color w:val="ff0000"/>
        </w:rPr>
        <w:t xml:space="preserve">حلفت بما حجت قريش لبيته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وضعت بالأخشبين رحالها</w:t>
      </w:r>
    </w:p>
    <w:p/>
    <w:p>
      <w:pPr>
        <w:jc w:val="center"/>
      </w:pPr>
      <w:r>
        <w:rPr>
          <w:color w:val="ff0000"/>
        </w:rPr>
        <w:t xml:space="preserve">لقد أهلت أرض بها حل جعفر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عدمت معروفها وجمالها</w:t>
      </w:r>
    </w:p>
    <w:p/>
    <w:p>
      <w:pPr/>
      <w:r>
        <w:rPr/>
        <w:t xml:space="preserve">وقال يمدح عبد العزيز بن المطلب المخزومي:</w:t>
      </w:r>
    </w:p>
    <w:p/>
    <w:p>
      <w:pPr>
        <w:jc w:val="center"/>
      </w:pPr>
      <w:r>
        <w:rPr>
          <w:color w:val="ff0000"/>
        </w:rPr>
        <w:t xml:space="preserve">إذا قيل: من للعدل والحق والنهى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أشارت إلى عبد العزيز الأصابع</w:t>
      </w:r>
    </w:p>
    <w:p/>
    <w:p>
      <w:pPr>
        <w:jc w:val="center"/>
      </w:pPr>
      <w:r>
        <w:rPr>
          <w:color w:val="ff0000"/>
        </w:rPr>
        <w:t xml:space="preserve">أشارت إلى حر المحامد لم يكن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ليدفعه عن غاية المجد دافع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2026-08-24T07:32:43+03:00</dcterms:created>
  <dcterms:modified xsi:type="dcterms:W3CDTF">2026-08-24T07:32:43+03:00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