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المارديني القاضي
</w:t>
      </w:r>
    </w:p>
    <w:p>
      <w:pPr>
        <w:jc w:val="start"/>
        <w:bidi/>
      </w:pPr>
      <w:r>
        <w:rPr>
          <w:rFonts w:ascii="arial" w:hAnsi="arial" w:eastAsia="arial" w:cs="arial"/>
          <w:sz w:val="28"/>
          <w:szCs w:val="28"/>
          <w:b w:val="1"/>
          <w:bCs w:val="1"/>
          <w:rtl/>
        </w:rPr>
        <w:t xml:space="preserve">مجد الدين المارديني القاضي
</w:t>
      </w:r>
    </w:p>
    <w:p>
      <w:pPr/>
      <w:r>
        <w:rPr/>
        <w:t xml:space="preserve">مجد الدين المارديني القاضي إسماعيل بن عبد الرحمن بن مكي أبو الفداء مجد الدين المارديني الفقيه الشافعي، توفي بجبل الصالحية سنة تسع وثمانين وستمائة، وصلي عليه بجامع العقيبة، ودفن في تربة البرهان الموصلي قريب مسجد القدم، وقد نيف على الستين. قال قطب الدين اليونيني: ذكر لي أنه كان في أول أمره حنبلي المذهب ثم انتقل إلى مذهب الشافعي وولي تدريس الأتابكية بجبل الصالحية، وولي القضاء بحلب وأعمالها، وكان سافر إلى الروم، وذكر أنه قرأ التحصيل على سراج الدين الأرموي.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2026-07-28T10:15:20+03:00</dcterms:created>
  <dcterms:modified xsi:type="dcterms:W3CDTF">2026-07-28T10:15:20+03:00</dcterms:modified>
</cp:coreProperties>
</file>

<file path=docProps/custom.xml><?xml version="1.0" encoding="utf-8"?>
<Properties xmlns="http://schemas.openxmlformats.org/officeDocument/2006/custom-properties" xmlns:vt="http://schemas.openxmlformats.org/officeDocument/2006/docPropsVTypes"/>
</file>