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البلدي الخباز المقرئ
</w:t>
      </w:r>
    </w:p>
    <w:p>
      <w:pPr>
        <w:jc w:val="start"/>
        <w:bidi/>
      </w:pPr>
      <w:r>
        <w:rPr>
          <w:rFonts w:ascii="arial" w:hAnsi="arial" w:eastAsia="arial" w:cs="arial"/>
          <w:sz w:val="28"/>
          <w:szCs w:val="28"/>
          <w:b w:val="1"/>
          <w:bCs w:val="1"/>
          <w:rtl/>
        </w:rPr>
        <w:t xml:space="preserve">البلدي الخباز المقرئ
</w:t>
      </w:r>
    </w:p>
    <w:p>
      <w:pPr/>
      <w:r>
        <w:rPr/>
        <w:t xml:space="preserve">البلدي الخباز المقرئ أحمد بن مسرور بن عبد الوهاب بن مسرور بن أحمد من أسد بن خزيمة أبو نصر البلدي الخباز المقرئ. قرأ القرآن بالروايات على آباء الحسن:</w:t>
      </w:r>
    </w:p>
    <w:p/>
    <w:p>
      <w:pPr/>
      <w:r>
        <w:rPr/>
        <w:t xml:space="preserve">منصور بن محمد بن منصور القزاز صاحب أبي بكر ومجاهد وعلي بن محمد بن العلاف وعلي بن أحمد بن عمر الحمامي وغيرهم، وسمع ببلد من أبي الطيب المطهر بن إسماعيل القاضي عن أبي يعلى الموصلي وببغداذ من ابن سمعون الواعظ وأبي عبيد الله محمد بن عمران المرزباني وإبراهيم بن أحمد الطبري وغيرهم. وكتب بخطه عن شيوخه وصنف كتاب المفيد في القراءات السبع، وأقرأ وحدث. توفي سنة اثنتين وأربعين وأربعمائة. خلط في بعض سماعاته.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البلدي الخباز
</w:t>
      </w:r>
    </w:p>
    <w:p>
      <w:pPr/>
      <w:r>
        <w:rPr/>
        <w:t xml:space="preserve">البلدي الخباز أحمد بن مسرور</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2026-08-26T19:51:37+03:00</dcterms:created>
  <dcterms:modified xsi:type="dcterms:W3CDTF">2026-08-26T19:51:37+03:00</dcterms:modified>
</cp:coreProperties>
</file>

<file path=docProps/custom.xml><?xml version="1.0" encoding="utf-8"?>
<Properties xmlns="http://schemas.openxmlformats.org/officeDocument/2006/custom-properties" xmlns:vt="http://schemas.openxmlformats.org/officeDocument/2006/docPropsVTypes"/>
</file>