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العباس الموصلي الشافعي
</w:t>
      </w:r>
    </w:p>
    <w:p>
      <w:pPr>
        <w:jc w:val="start"/>
        <w:bidi/>
      </w:pPr>
      <w:r>
        <w:rPr>
          <w:rFonts w:ascii="arial" w:hAnsi="arial" w:eastAsia="arial" w:cs="arial"/>
          <w:sz w:val="28"/>
          <w:szCs w:val="28"/>
          <w:b w:val="1"/>
          <w:bCs w:val="1"/>
          <w:rtl/>
        </w:rPr>
        <w:t xml:space="preserve">أبو العباس الموصلي الشافعي
</w:t>
      </w:r>
    </w:p>
    <w:p>
      <w:pPr/>
      <w:r>
        <w:rPr/>
        <w:t xml:space="preserve">أبو العباس الموصلي الشافعي أحمد بن محمد أبو العباس النحوي الموصلي؛ كان إماما في النحو فقيها فاضلا عالما بمذهب الشافعي مفتيا، قرأ عليه ابن جني النحو بالموصل وقدم بغداذ وأقام بها. وكانت له حلقة في جامع المنصور قريبا من حلقة أبي حامد الأسفراييني وله كتاب في تعليل وجوه القراءات السبع التي جمعها أبو بكر ابن مجاهد. </w:t>
      </w:r>
    </w:p>
    <w:p>
      <w:pPr>
        <w:jc w:val="start"/>
        <w:bidi/>
      </w:pPr>
      <w:r>
        <w:rPr>
          <w:sz w:val="24"/>
          <w:szCs w:val="24"/>
          <w:b w:val="1"/>
          <w:bCs w:val="1"/>
          <w:rtl/>
        </w:rPr>
        <w:t xml:space="preserve">
الوافي بالوفيات،(دار فرانز شتاينر، فيسبادن، ألمانيا / دار إحياء التراث - بيروت،2000،ط 1،ج 8،ص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2026-08-26T05:21:27+03:00</dcterms:created>
  <dcterms:modified xsi:type="dcterms:W3CDTF">2026-08-26T05:21:27+03:00</dcterms:modified>
</cp:coreProperties>
</file>

<file path=docProps/custom.xml><?xml version="1.0" encoding="utf-8"?>
<Properties xmlns="http://schemas.openxmlformats.org/officeDocument/2006/custom-properties" xmlns:vt="http://schemas.openxmlformats.org/officeDocument/2006/docPropsVTypes"/>
</file>