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ابن أبي القاسم الخفيفي
</w:t>
      </w:r>
    </w:p>
    <w:p>
      <w:pPr>
        <w:jc w:val="start"/>
        <w:bidi/>
      </w:pPr>
      <w:r>
        <w:rPr>
          <w:rFonts w:ascii="arial" w:hAnsi="arial" w:eastAsia="arial" w:cs="arial"/>
          <w:sz w:val="28"/>
          <w:szCs w:val="28"/>
          <w:b w:val="1"/>
          <w:bCs w:val="1"/>
          <w:rtl/>
        </w:rPr>
        <w:t xml:space="preserve">الخفيفي الصوفي الأبهري
</w:t>
      </w:r>
    </w:p>
    <w:p>
      <w:pPr/>
      <w:r>
        <w:rPr/>
        <w:t xml:space="preserve">الخفيفي الصوفي الأبهري أحمد بن محمد ابن أبي القاسم الخفيفي-بالخاء المعجمة والفاءين-أبو الرشيد الصوفي من أهل أبهر زنجان. قدم بغداذ شابا ودرس الفقه بها مدة وسمع الحديث ثم إنه رفض ذلك وصحب أبا النجيب السهروردي وانقطع وجلس في الخلوة وظهرت له الكرامات وفتح عليه بالكلام؛ وجلس في الخلوة اثنتي عشرة سنة وقد كتب من كلامه ما يقارب ثمانين مجلدة وكان منسوبا إلى ابن خفيف الشيرازي. وتوفي سنة سبع وسبعين وخمسمائة ودفن بالشونيزية.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الخفيفي
</w:t>
      </w:r>
    </w:p>
    <w:p>
      <w:pPr/>
      <w:r>
        <w:rPr/>
        <w:t xml:space="preserve">الخفيفي أحمد بن محمد بن القاسم.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2026-07-27T23:35:25+03:00</dcterms:created>
  <dcterms:modified xsi:type="dcterms:W3CDTF">2026-07-27T23:35:25+03:00</dcterms:modified>
</cp:coreProperties>
</file>

<file path=docProps/custom.xml><?xml version="1.0" encoding="utf-8"?>
<Properties xmlns="http://schemas.openxmlformats.org/officeDocument/2006/custom-properties" xmlns:vt="http://schemas.openxmlformats.org/officeDocument/2006/docPropsVTypes"/>
</file>