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الخط المليح
</w:t>
      </w:r>
    </w:p>
    <w:p>
      <w:pPr>
        <w:jc w:val="start"/>
        <w:bidi/>
      </w:pPr>
      <w:r>
        <w:rPr>
          <w:rFonts w:ascii="arial" w:hAnsi="arial" w:eastAsia="arial" w:cs="arial"/>
          <w:sz w:val="28"/>
          <w:szCs w:val="28"/>
          <w:b w:val="1"/>
          <w:bCs w:val="1"/>
          <w:rtl/>
        </w:rPr>
        <w:t xml:space="preserve">صاحب الخط المليح
</w:t>
      </w:r>
    </w:p>
    <w:p>
      <w:pPr/>
      <w:r>
        <w:rPr/>
        <w:t xml:space="preserve">صاحب الخط المليح أحمد بن محمد بن أسد بن علي بن سعيد أبو الحسن ابن أبي الحسن الكاتب البغداذي صاحب الخط المليح وكان أبوه أيضا يكتب خطا مليحا. ذكره الخطيب في ’’تاريخه’’ وروى عنه حديثا. وتوفي أبو الحسين سنة 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2026-07-28T17:33:03+03:00</dcterms:created>
  <dcterms:modified xsi:type="dcterms:W3CDTF">2026-07-28T17:33:03+03:00</dcterms:modified>
</cp:coreProperties>
</file>

<file path=docProps/custom.xml><?xml version="1.0" encoding="utf-8"?>
<Properties xmlns="http://schemas.openxmlformats.org/officeDocument/2006/custom-properties" xmlns:vt="http://schemas.openxmlformats.org/officeDocument/2006/docPropsVTypes"/>
</file>