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الحديثي
</w:t>
      </w:r>
    </w:p>
    <w:p>
      <w:pPr>
        <w:jc w:val="start"/>
        <w:bidi/>
      </w:pPr>
      <w:r>
        <w:rPr>
          <w:rFonts w:ascii="arial" w:hAnsi="arial" w:eastAsia="arial" w:cs="arial"/>
          <w:sz w:val="28"/>
          <w:szCs w:val="28"/>
          <w:b w:val="1"/>
          <w:bCs w:val="1"/>
          <w:rtl/>
        </w:rPr>
        <w:t xml:space="preserve">أبو نصر الحديثي
</w:t>
      </w:r>
    </w:p>
    <w:p>
      <w:pPr/>
      <w:r>
        <w:rPr/>
        <w:t xml:space="preserve">أبو نصر الحديثي أحمد بن محمد بن أحمد بن صالح الحديثي أبو نصر الشاهد والد قاضي القضاة روح، نزل بغداذ وكان يسكن بدار الخلافة، وتفقه على أبي إسحاق الشيرازي وسمع النقيب طراد بن محمد الزينبي ومحمد بن أحمد بن عبد الباقي بن طوق الموصلي وحدث باليسير، روى عنه ابن عبد الملك بن روح والمبارك بن كامل الخفاف في ’’معجم شيوخه’’ توفي سنة إحدى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الحديثي
</w:t>
      </w:r>
    </w:p>
    <w:p>
      <w:pPr/>
      <w:r>
        <w:rPr/>
        <w:t xml:space="preserve">أبو نصر الحديثي </w:t>
      </w:r>
    </w:p>
    <w:p/>
    <w:p>
      <w:pPr/>
      <w:r>
        <w:rPr/>
        <w:t xml:space="preserve">من حديثة الموصل، أحمد بن محمد بن أحمد، أخذ عن أبي إسحاق، ومات سنة إحدى وأربعين وخمسمائة عن أربع وثمانين سنة، ذكره ابن السمعاني في مشيخته.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2026-08-26T12:53:23+03:00</dcterms:created>
  <dcterms:modified xsi:type="dcterms:W3CDTF">2026-08-26T12:53:23+03:00</dcterms:modified>
</cp:coreProperties>
</file>

<file path=docProps/custom.xml><?xml version="1.0" encoding="utf-8"?>
<Properties xmlns="http://schemas.openxmlformats.org/officeDocument/2006/custom-properties" xmlns:vt="http://schemas.openxmlformats.org/officeDocument/2006/docPropsVTypes"/>
</file>