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المكوي المالكي
</w:t>
      </w:r>
    </w:p>
    <w:p>
      <w:pPr>
        <w:jc w:val="start"/>
        <w:bidi/>
      </w:pPr>
      <w:r>
        <w:rPr>
          <w:rFonts w:ascii="arial" w:hAnsi="arial" w:eastAsia="arial" w:cs="arial"/>
          <w:sz w:val="28"/>
          <w:szCs w:val="28"/>
          <w:b w:val="1"/>
          <w:bCs w:val="1"/>
          <w:rtl/>
        </w:rPr>
        <w:t xml:space="preserve">ابن المكوي المالكي
</w:t>
      </w:r>
    </w:p>
    <w:p>
      <w:pPr/>
      <w:r>
        <w:rPr/>
        <w:t xml:space="preserve">ابن المكوي المالكي أحمد بن عبد الملك بن هاشم أبو عمر ابن المكوي الإشبيلي المالكي كبير المفتين بقرطبة، كان حافظا للمذهب مقدما فيه بصيرا بأقوال أصحاب مالك دعي لقضاء قرطبة مرتين فأبى، وصنف كتاب ’’الاستيعاب في رأي مالك’’ للحكم أمير المؤمنين فجاء به في مائة جزء، وعليه تفقه الحافظ أبو عمر ابن عبد البر وأخذ عنه ’’المدونة’’. توفي فجأة في سابع جمادى الأولى سنة إحدى وأربع ومائة وكانت له جنازة عظيمة.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المكوي
</w:t>
      </w:r>
    </w:p>
    <w:p>
      <w:pPr/>
      <w:r>
        <w:rPr/>
        <w:t xml:space="preserve">ابن المكوي عالم الأندلس، وشيخ المالكية، أبو عمر، أحمد بن عبد الملك بن هاشم، الإشبيلي، ابن المكوي.</w:t>
      </w:r>
    </w:p>
    <w:p/>
    <w:p>
      <w:pPr/>
      <w:r>
        <w:rPr/>
        <w:t xml:space="preserve">تفقه على إسحاق بن إبراهيم الفقيه.</w:t>
      </w:r>
    </w:p>
    <w:p/>
    <w:p>
      <w:pPr/>
      <w:r>
        <w:rPr/>
        <w:t xml:space="preserve">وبرع، وفاق الأقران، وانتهت إليه معرفة المذهب وغوامضه مع الصلابة في الدين، والبعد عن الهوى، والإنصاف في النظر.</w:t>
      </w:r>
    </w:p>
    <w:p/>
    <w:p>
      <w:pPr/>
      <w:r>
        <w:rPr/>
        <w:t xml:space="preserve">صنف هو والعلامة أبو بكر المعيطي معا كتاب الاستيعاب في المذهب، في مائة جزء، لصاحب الأندلس المستنصر، فسر بذلك، ووصلهما بمبلغ، وقدمهما للشورى.</w:t>
      </w:r>
    </w:p>
    <w:p/>
    <w:p>
      <w:pPr/>
      <w:r>
        <w:rPr/>
        <w:t xml:space="preserve">تفقه على ابن المكوي أبو عمر بن عبد البر، وأخذ عنه ’’المدونة’’.</w:t>
      </w:r>
    </w:p>
    <w:p/>
    <w:p>
      <w:pPr/>
      <w:r>
        <w:rPr/>
        <w:t xml:space="preserve">مات فجأة في جمادى الأولى، سنة إحدى وأربع مائة عن سبع وسبعين سنة، وكانت جنازته مشهودة، رحمه الله.</w:t>
      </w:r>
    </w:p>
    <w:p>
      <w:pPr>
        <w:jc w:val="start"/>
        <w:bidi/>
      </w:pPr>
      <w:r>
        <w:rPr>
          <w:sz w:val="24"/>
          <w:szCs w:val="24"/>
          <w:b w:val="1"/>
          <w:bCs w:val="1"/>
          <w:rtl/>
        </w:rPr>
        <w:t xml:space="preserve">
سير أعلام النبلاء،(دار الحديث- القاهرة،2006،ط 1،ج 13،ص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2026-08-26T08:03:48+03:00</dcterms:created>
  <dcterms:modified xsi:type="dcterms:W3CDTF">2026-08-26T08:03:48+03:00</dcterms:modified>
</cp:coreProperties>
</file>

<file path=docProps/custom.xml><?xml version="1.0" encoding="utf-8"?>
<Properties xmlns="http://schemas.openxmlformats.org/officeDocument/2006/custom-properties" xmlns:vt="http://schemas.openxmlformats.org/officeDocument/2006/docPropsVTypes"/>
</file>