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كعب بن عدي
</w:t>
      </w:r>
    </w:p>
    <w:p>
      <w:pPr>
        <w:jc w:val="start"/>
        <w:bidi/>
      </w:pPr>
      <w:r>
        <w:rPr>
          <w:rFonts w:ascii="arial" w:hAnsi="arial" w:eastAsia="arial" w:cs="arial"/>
          <w:sz w:val="28"/>
          <w:szCs w:val="28"/>
          <w:b w:val="1"/>
          <w:bCs w:val="1"/>
          <w:rtl/>
        </w:rPr>
        <w:t xml:space="preserve">كعب بن عدي
</w:t>
      </w:r>
    </w:p>
    <w:p>
      <w:pPr/>
      <w:r>
        <w:rPr/>
        <w:t xml:space="preserve">كعب بن عدي  كعب بن عدي بن ثعلبة العبادي التنوخي: صحابي، من أهل الحيرة. وفد مع جماعة منهم على النبي (ص) فاسلم. وعاد إلى الحيرة. ولما ولى أبو بكر أقبل كعب على المدينة فسكنها. ووجهه أبو بكر إلى الإسكندرية، برسالة إلى ’’المقوقس’’ ثم وجهه عمر برسالة أخرى إليه سنة 15 هـ. وشهد فتح مصر، واختط بها، ومات فيها. وكان شريكا لعمر في الجاهلية في تجارة البز. </w:t>
      </w:r>
    </w:p>
    <w:p>
      <w:pPr>
        <w:jc w:val="start"/>
        <w:bidi/>
      </w:pPr>
      <w:r>
        <w:rPr>
          <w:sz w:val="24"/>
          <w:szCs w:val="24"/>
          <w:b w:val="1"/>
          <w:bCs w:val="1"/>
          <w:rtl/>
        </w:rPr>
        <w:t xml:space="preserve">
الأعلام،(دار العلم للملايين - بيروت،2002،ط 15،ج 5،ص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2026-10-02T09:52:56+03:00</dcterms:created>
  <dcterms:modified xsi:type="dcterms:W3CDTF">2026-10-02T09:52:56+03:00</dcterms:modified>
</cp:coreProperties>
</file>

<file path=docProps/custom.xml><?xml version="1.0" encoding="utf-8"?>
<Properties xmlns="http://schemas.openxmlformats.org/officeDocument/2006/custom-properties" xmlns:vt="http://schemas.openxmlformats.org/officeDocument/2006/docPropsVTypes"/>
</file>