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البوقي الشافعي
</w:t>
      </w:r>
    </w:p>
    <w:p>
      <w:pPr>
        <w:jc w:val="start"/>
        <w:bidi/>
      </w:pPr>
      <w:r>
        <w:rPr>
          <w:rFonts w:ascii="arial" w:hAnsi="arial" w:eastAsia="arial" w:cs="arial"/>
          <w:sz w:val="28"/>
          <w:szCs w:val="28"/>
          <w:b w:val="1"/>
          <w:bCs w:val="1"/>
          <w:rtl/>
        </w:rPr>
        <w:t xml:space="preserve">ابن البوقي الشافعي
</w:t>
      </w:r>
    </w:p>
    <w:p>
      <w:pPr/>
      <w:r>
        <w:rPr/>
        <w:t xml:space="preserve">ابن البوقي الشافعي محمد بن هبة الله بن يحيى بن الحسن بن أحمد بن عبد الباقي أبو العلاء ابن أبي جعفر الفقيه الشافعي المعروف بابن البوقي من أهل واسط، كان والده إماما في الفقه والزهد، وأبو العلاء هذا كانت له معرفة تامة بالفقه والخلاف والفرائض والحساب وله فيه مصنفات، قدم بغداذ وسكنها مدة وتكلم مع الفقهاء في مسائل الخلاف وناب في ديوان المجلس عن الوزير أبي جعفر ابن البلدي في أيام المستنجد، وسمع الحديث بواسط من القاضي أبي علي الحسن بن إبراهيم الفارقي وأبي الكرم نصر الله بن محمد الأزدي وأبي الحسن علي بن هبة الله وغيرهم، وتوفي سنة تسعين وخمس مائة بقرية من سواد الحلة ودفن بعدما حمل في مشهد الحسين بن علي رضي الله عنهما.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البوقي الشافعي
</w:t>
      </w:r>
    </w:p>
    <w:p>
      <w:pPr/>
      <w:r>
        <w:rPr/>
        <w:t xml:space="preserve">ابن البوقي الشافعي محمد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2026-08-25T05:01:21+03:00</dcterms:created>
  <dcterms:modified xsi:type="dcterms:W3CDTF">2026-08-25T05:01:21+03:00</dcterms:modified>
</cp:coreProperties>
</file>

<file path=docProps/custom.xml><?xml version="1.0" encoding="utf-8"?>
<Properties xmlns="http://schemas.openxmlformats.org/officeDocument/2006/custom-properties" xmlns:vt="http://schemas.openxmlformats.org/officeDocument/2006/docPropsVTypes"/>
</file>