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المهلبي
</w:t>
      </w:r>
    </w:p>
    <w:p>
      <w:pPr>
        <w:jc w:val="start"/>
        <w:bidi/>
      </w:pPr>
      <w:r>
        <w:rPr>
          <w:rFonts w:ascii="arial" w:hAnsi="arial" w:eastAsia="arial" w:cs="arial"/>
          <w:sz w:val="28"/>
          <w:szCs w:val="28"/>
          <w:b w:val="1"/>
          <w:bCs w:val="1"/>
          <w:rtl/>
        </w:rPr>
        <w:t xml:space="preserve">المهلبي
</w:t>
      </w:r>
    </w:p>
    <w:p>
      <w:pPr/>
      <w:r>
        <w:rPr/>
        <w:t xml:space="preserve">المهلبي  أحمد بن علي بن معقل، أبو العباس، عز الدين الأزدري المهلبي: عالم بالأدب. من أهل حمص، مولده بها ووفاته في دمشق. رحل إلى العراق، وتشيع بالحلة، وبرع في العربية، وقال الشعر. واتصل بالملك الأمجد، فحظي عنده. وصنف كتبا، منها (المآخذ على شراح المتنبي - خ) 276 ورقة، في مكتبة فيض الله، باستنبول، الرقم 1748 كتب عنه الميمني: صالح للنشر على نقصه. قلت: وفي جامعة الرياض (الفيلم 44) خمسة كتب لصاحب الترجمة مصورة عن عارف حكمة في المدينة، هي: (مآخذ على أبي زكريا التبريزي في تفسير شعر أبي الطيب) و (مآخذ على أبي العلاء المعري في شرح ديوان المتنبي) و (مآخذ على أبي اليمن الحسن الكنفي في أبيات أبي الطيب) و (مآخذ على الواحدي في شرح ديوان المتنبي) و (مآخذ أبي العباس أحمد بن علي المهلبي، على شرح ابن جني لديوان المتنبي) ومن كتبه (التكملة لأبي علي الفارسي) و (نظم الإيضاح’’. </w:t>
      </w:r>
    </w:p>
    <w:p>
      <w:pPr>
        <w:jc w:val="start"/>
        <w:bidi/>
      </w:pPr>
      <w:r>
        <w:rPr>
          <w:sz w:val="24"/>
          <w:szCs w:val="24"/>
          <w:b w:val="1"/>
          <w:bCs w:val="1"/>
          <w:rtl/>
        </w:rPr>
        <w:t xml:space="preserve">
الأعلام،(دار العلم للملايين - بيروت،2002،ط 15،ج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معقل
</w:t>
      </w:r>
    </w:p>
    <w:p>
      <w:pPr/>
      <w:r>
        <w:rPr/>
        <w:t xml:space="preserve">ابن معقل كبير الرافضة النحوي العلامة عز الدين أحمد بن علي بن معقل المهلبي الحمصي.</w:t>
      </w:r>
    </w:p>
    <w:p/>
    <w:p>
      <w:pPr/>
      <w:r>
        <w:rPr/>
        <w:t xml:space="preserve">أخذ التشيع بالحلة، والنحو عن الكندي، وأبي البقاء، وله النظم البديع، والنثر الصنيع، وكان أحول قصيرا ثخين الرفض.</w:t>
      </w:r>
    </w:p>
    <w:p/>
    <w:p>
      <w:pPr/>
      <w:r>
        <w:rPr/>
        <w:t xml:space="preserve">نظم ’’الإيضاح’’، و’’التكملة’’.</w:t>
      </w:r>
    </w:p>
    <w:p/>
    <w:p>
      <w:pPr/>
      <w:r>
        <w:rPr/>
        <w:t xml:space="preserve">وسكن بعلبك في صحبة الملك الأمجد، وقرر له جامكية، وتخرجوا به في المذهب.</w:t>
      </w:r>
    </w:p>
    <w:p/>
    <w:p>
      <w:pPr/>
      <w:r>
        <w:rPr/>
        <w:t xml:space="preserve">توفي بدمشق في ربيع الأول سنة أربع وأربعين وست مائة، عن سبع وسبعين سنة.</w:t>
      </w:r>
    </w:p>
    <w:p/>
    <w:p>
      <w:pPr/>
      <w:r>
        <w:rPr/>
        <w:t xml:space="preserve">ابن عدي، الحريري: </w:t>
      </w:r>
    </w:p>
    <w:p>
      <w:pPr>
        <w:jc w:val="start"/>
        <w:bidi/>
      </w:pPr>
      <w:r>
        <w:rPr>
          <w:sz w:val="24"/>
          <w:szCs w:val="24"/>
          <w:b w:val="1"/>
          <w:bCs w:val="1"/>
          <w:rtl/>
        </w:rPr>
        <w:t xml:space="preserve">
سير أعلام النبلاء،(دار الحديث- القاهرة،2006،ط 0،ج 16،ص 406)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2026-07-28T05:08:42+03:00</dcterms:created>
  <dcterms:modified xsi:type="dcterms:W3CDTF">2026-07-28T05:08:42+03:00</dcterms:modified>
</cp:coreProperties>
</file>

<file path=docProps/custom.xml><?xml version="1.0" encoding="utf-8"?>
<Properties xmlns="http://schemas.openxmlformats.org/officeDocument/2006/custom-properties" xmlns:vt="http://schemas.openxmlformats.org/officeDocument/2006/docPropsVTypes"/>
</file>