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خمارتاش الواعظ
</w:t>
      </w:r>
    </w:p>
    <w:p>
      <w:pPr>
        <w:jc w:val="start"/>
        <w:bidi/>
      </w:pPr>
      <w:r>
        <w:rPr>
          <w:rFonts w:ascii="arial" w:hAnsi="arial" w:eastAsia="arial" w:cs="arial"/>
          <w:sz w:val="28"/>
          <w:szCs w:val="28"/>
          <w:b w:val="1"/>
          <w:bCs w:val="1"/>
          <w:rtl/>
        </w:rPr>
        <w:t xml:space="preserve">ابن خمارتاش الواعظ
</w:t>
      </w:r>
    </w:p>
    <w:p>
      <w:pPr/>
      <w:r>
        <w:rPr/>
        <w:t xml:space="preserve">ابن خمارتاش الواعظ محمد بن محمود بن خمارتاش التاجر أبو عبد الله الواعظ الأصبهاني. طلب الحديث بنفسه وسمع الكثير وكتب بخطه وحصل الكتب والأجزاء وقرأ على المشايخ والحفاظ وكان يعقد مجلس الوعظ وله معرفة بالتفسير والحديث والفقه على مذهب الشافعي وله حظ من الأدب ويكتب الخط الحسن، سمع أبا القاسم إسماعيل بن علي بن الحسين الحمامي وأبا الحسين محمد بن أحمد بن عمر الباغبان وأبا عبد الله الحسن بن العباس الرستمي وأبا الفرج مسعود بن الحسن بن القاسم الثقفي وجماعة.</w:t>
      </w:r>
    </w:p>
    <w:p/>
    <w:p>
      <w:pPr/>
      <w:r>
        <w:rPr/>
        <w:t xml:space="preserve">قال محب الدين ابن النجار: سمعت منه بأصبهان وكان صدوقا متدينا حسن الطريقة محمود الأفعال طيب الأخلاق متواضعا، ولد في سنة 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خمارتاش الواعظ
</w:t>
      </w:r>
    </w:p>
    <w:p>
      <w:pPr/>
      <w:r>
        <w:rPr/>
        <w:t xml:space="preserve">ابن خمارتاش الواعظ اسمه محمد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2026-08-25T19:11:59+03:00</dcterms:created>
  <dcterms:modified xsi:type="dcterms:W3CDTF">2026-08-25T19:11:59+03:00</dcterms:modified>
</cp:coreProperties>
</file>

<file path=docProps/custom.xml><?xml version="1.0" encoding="utf-8"?>
<Properties xmlns="http://schemas.openxmlformats.org/officeDocument/2006/custom-properties" xmlns:vt="http://schemas.openxmlformats.org/officeDocument/2006/docPropsVTypes"/>
</file>