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الملاق الحنفي محمد بن علي بن محمد بن الملاق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الملاق الحنفي محمد بن علي بن محمد بن الملاق
</w:t>
      </w:r>
    </w:p>
    <w:p>
      <w:pPr/>
      <w:r>
        <w:rPr/>
        <w:t xml:space="preserve">ابن الملاق الحنفي محمد بن علي بن محمد بن الملاق -بالتخفيف في اللام- القاضي بدر الدين الرقي الفقيه الحنفي.</w:t>
      </w:r>
    </w:p>
    <w:p/>
    <w:p>
      <w:pPr/>
      <w:r>
        <w:rPr/>
        <w:t xml:space="preserve">سمع من بكبرس الخليفتي ’’الأربعين الودعانية’’ وسمع منه الدواداري وأجاز للدماشقة.</w:t>
      </w:r>
    </w:p>
    <w:p/>
    <w:p>
      <w:pPr/>
      <w:r>
        <w:rPr/>
        <w:t xml:space="preserve">مولده سنة تسع عشرة توفي سنة سبع وتسعين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محمد بن الملاق
</w:t>
      </w:r>
    </w:p>
    <w:p>
      <w:pPr/>
      <w:r>
        <w:rPr/>
        <w:t xml:space="preserve">محمد بن علي بن محمد بن الملاق بالتخفيف في اللام، القاضي بدر الدين الرقي، الفقيه الحنفي.</w:t>
      </w:r>
    </w:p>
    <w:p/>
    <w:p>
      <w:pPr/>
      <w:r>
        <w:rPr/>
        <w:t xml:space="preserve">سمع من بكبرس الخليفتي ’’الأربعين الودعانية’’ وسمعها منه الدواداري، وأجز للدماشقة.</w:t>
      </w:r>
    </w:p>
    <w:p/>
    <w:p>
      <w:pPr/>
      <w:r>
        <w:rPr/>
        <w:t xml:space="preserve">وتوفي رحمه الله تعالى سنة سبع وتسعين وست مئة.</w:t>
      </w:r>
    </w:p>
    <w:p/>
    <w:p>
      <w:pPr/>
      <w:r>
        <w:rPr/>
        <w:t xml:space="preserve">ومولده سنة تسع عشرة وست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575)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الملاق
</w:t>
      </w:r>
    </w:p>
    <w:p>
      <w:pPr/>
      <w:r>
        <w:rPr/>
        <w:t xml:space="preserve">ابن الملاق محمد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2026-07-29T04:19:37+03:00</dcterms:created>
  <dcterms:modified xsi:type="dcterms:W3CDTF">2026-07-29T04:19:37+03:00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