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يوسف القاضي بدر الدين أبو عبد الله الآمدي ثم المصري الحنبلي ابن الحداد
</w:t>
      </w:r>
    </w:p>
    <w:p>
      <w:pPr>
        <w:jc w:val="start"/>
        <w:bidi/>
      </w:pPr>
      <w:r>
        <w:rPr>
          <w:rFonts w:ascii="arial" w:hAnsi="arial" w:eastAsia="arial" w:cs="arial"/>
          <w:sz w:val="28"/>
          <w:szCs w:val="28"/>
          <w:b w:val="1"/>
          <w:bCs w:val="1"/>
          <w:rtl/>
        </w:rPr>
        <w:t xml:space="preserve">محمد بن عثمان بن يوسف القاضي بدر الدين أبو عبد الله الآمدي ثم المصري الحنبلي ابن الحداد
</w:t>
      </w:r>
    </w:p>
    <w:p>
      <w:pPr/>
      <w:r>
        <w:rPr/>
        <w:t xml:space="preserve">بدر الدين ابن الحداد محمد بن عثمان بن يوسف القاضي بدر الدين أبو عبد الله الآمدي ثم المصري الحنبلي ابن الحداد تفقه بمصر وحفظ المحرر وتميز ثم دخل في الكتابة واتصل بقراسنقر وسار معه إلى حلب ونظر في ديوانه وفي الأوقاف والخطابة، فلما ولي دمشق ولى ابنه خطابة دمشق انتزعها من جلال الدين القزويني فيما أظن ثم إنه بعد أيام وصل التوقيع من مصر بإعادته، ثم ولي الحسبة ونظر البيمارستان النوزي ثم نظر الجامع الأموي، وله سماع من القاضي شمس الدين ابن العماد وذكر لقضاء دمشق.</w:t>
      </w:r>
    </w:p>
    <w:p/>
    <w:p>
      <w:pPr/>
      <w:r>
        <w:rPr/>
        <w:t xml:space="preserve">وتوفي سنة أربع وعشرين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يوسف
</w:t>
      </w:r>
    </w:p>
    <w:p>
      <w:pPr/>
      <w:r>
        <w:rPr/>
        <w:t xml:space="preserve">محمد بن عثمان بن يوسف الصدر الكبير القاضي بدر الدين أبو عبد الله الآمدي ثم المصري الحنبلي، المعروف بابن الحداد.</w:t>
      </w:r>
    </w:p>
    <w:p/>
    <w:p>
      <w:pPr/>
      <w:r>
        <w:rPr/>
        <w:t xml:space="preserve">تفقه بمصر، وحفظ ’’المحرر’’ وتميز، ثم دخل في الكتابة، واتصل بالأمير قراسنقر، ودخل معه إلى حلب وولي نظر ديوانه والأوقاف والخطابة. ولما تولى دمشق ولى ابنه خطابة دمشق، انتزعها من الخطيب جلال الدين القزويني، ثم وصل توقيع جلال الدين بعد أيام من مصر بإعادته. ثم ولي الحسبة عوضا عن فخر الدين البصروي. ووصل إلى دمشق من مصر في ذي القعدة سنة أربع عشرة وسبع مئة، ثم إنه عزل بابن مبشر، ثم أعيد إليها في جمادى الآخرة سنة خمس عشرة وسبع مئة. وتولى نظر البيمارستان النوري، ثم نظر الجامع الأموي.</w:t>
      </w:r>
    </w:p>
    <w:p/>
    <w:p>
      <w:pPr/>
      <w:r>
        <w:rPr/>
        <w:t xml:space="preserve">وكان له سماع من القاضي شمس الدين بن العماد، وذكر لقضاء دمشق في وقت.</w:t>
      </w:r>
    </w:p>
    <w:p/>
    <w:p>
      <w:pPr/>
      <w:r>
        <w:rPr/>
        <w:t xml:space="preserve">وتوفي رحمه الله تعالى في يوم الأربعاء تاسع جمادى الأولى سنة أربع وعشرين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يوسف الآمدي
</w:t>
      </w:r>
    </w:p>
    <w:p>
      <w:pPr/>
      <w:r>
        <w:rPr/>
        <w:t xml:space="preserve">محمد بن عثمان بن يوسف الآمدي محمد بن عثمان بن يوسف الآمدي ثم المصري الحنبلي بدر الدين بن الحداد ولد بمصر وتفقه بها وحفظ المحرر ومهر وعرض المحرر على النجم ابن حمدان وتفقه عليه مدة ثم ولي نظر ديوان قراسنقر بحلب والأوقاف والخطابة بها وولي بدمشق الخطابة والحسبة ونظر المرستان والجامع وحدث عن شمس الدين ابن العماد وذكر مرة لقضاء دمشق ومات محتسبا في جمادى الأولى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2026-07-29T12:33:27+03:00</dcterms:created>
  <dcterms:modified xsi:type="dcterms:W3CDTF">2026-07-29T12:33:27+03:00</dcterms:modified>
</cp:coreProperties>
</file>

<file path=docProps/custom.xml><?xml version="1.0" encoding="utf-8"?>
<Properties xmlns="http://schemas.openxmlformats.org/officeDocument/2006/custom-properties" xmlns:vt="http://schemas.openxmlformats.org/officeDocument/2006/docPropsVTypes"/>
</file>