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باكير
</w:t>
      </w:r>
    </w:p>
    <w:p>
      <w:pPr>
        <w:jc w:val="start"/>
        <w:bidi/>
      </w:pPr>
      <w:r>
        <w:rPr>
          <w:rFonts w:ascii="arial" w:hAnsi="arial" w:eastAsia="arial" w:cs="arial"/>
          <w:sz w:val="28"/>
          <w:szCs w:val="28"/>
          <w:b w:val="1"/>
          <w:bCs w:val="1"/>
          <w:rtl/>
        </w:rPr>
        <w:t xml:space="preserve">إبراهيم باكير
</w:t>
      </w:r>
    </w:p>
    <w:p>
      <w:pPr/>
      <w:r>
        <w:rPr/>
        <w:t xml:space="preserve">إبراهيم باكير  إبراهيم باكير: فقيه حنفي، له نظم واشتغال بالأدب. من أهل طرابلس الغرب، مولدا ووفاة. كان ينعت بشيخ مشايخ القطر الطرابلسي. اقام في دمشق حوالي ثماني سنوات. ولما عاد إلى طرابلس عين فيها (حاكما) بالمحكمة العليا واستمر 15 عاما إلى ان توفي. له تآليف منها (فتاوى) على المذهب الحنفي، و (منظومة) في الحكمة والادب، ورسالة في (علم البيان) ورسالة في (المنطق) ومنظومة في (المقالات) وشرحها، و (ديوان) منظوماته. </w:t>
      </w:r>
    </w:p>
    <w:p>
      <w:pPr>
        <w:jc w:val="start"/>
        <w:bidi/>
      </w:pPr>
      <w:r>
        <w:rPr>
          <w:sz w:val="24"/>
          <w:szCs w:val="24"/>
          <w:b w:val="1"/>
          <w:bCs w:val="1"/>
          <w:rtl/>
        </w:rPr>
        <w:t xml:space="preserve">
الأعلام،(دار العلم للملايين - بيروت،2002،ط 15،ج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2026-08-25T23:52:48+03:00</dcterms:created>
  <dcterms:modified xsi:type="dcterms:W3CDTF">2026-08-25T23:52:48+03:00</dcterms:modified>
</cp:coreProperties>
</file>

<file path=docProps/custom.xml><?xml version="1.0" encoding="utf-8"?>
<Properties xmlns="http://schemas.openxmlformats.org/officeDocument/2006/custom-properties" xmlns:vt="http://schemas.openxmlformats.org/officeDocument/2006/docPropsVTypes"/>
</file>