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الواعظ الحنبلي محمد بن عبد الملك
</w:t>
      </w:r>
    </w:p>
    <w:p>
      <w:pPr>
        <w:jc w:val="start"/>
        <w:bidi/>
      </w:pPr>
      <w:r>
        <w:rPr>
          <w:rFonts w:ascii="arial" w:hAnsi="arial" w:eastAsia="arial" w:cs="arial"/>
          <w:sz w:val="28"/>
          <w:szCs w:val="28"/>
          <w:b w:val="1"/>
          <w:bCs w:val="1"/>
          <w:rtl/>
        </w:rPr>
        <w:t xml:space="preserve">الواعظ الحنبلي محمد بن عبد الملك
</w:t>
      </w:r>
    </w:p>
    <w:p>
      <w:pPr/>
      <w:r>
        <w:rPr/>
        <w:t xml:space="preserve">الواعظ الحنبلي محمد بن عبد الملك بن إسماعيل بن عبد الملك ين علي أبو عبد الله الواعظ الحنبلي الأصبهاني. كان له قبول كثير عند أهل بلده، سمع الحديث من أبي القاسم إسماعيل بن علي الحمامي وأبي عبد الله الحسن بن العباس الرستمي وجماعة، وقدم بغداذ حاجا في شبابه وسمع بها من الشريف أبي العباس أحمد بن محمد بن عبد العزيز العباسي وأبي المظفر هبة الله بن أحمد الشبلي وغيرهما ثم قدمها ثانيا وأملى بجامع القصر عشر مجالس. قال ابن النجار: كتبناها عنه وكان شيخا فاضلا صدوقا متدينا. توفي بأصبهان سنة خمس وتسعين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2026-07-29T02:48:15+03:00</dcterms:created>
  <dcterms:modified xsi:type="dcterms:W3CDTF">2026-07-29T02:48:15+03:00</dcterms:modified>
</cp:coreProperties>
</file>

<file path=docProps/custom.xml><?xml version="1.0" encoding="utf-8"?>
<Properties xmlns="http://schemas.openxmlformats.org/officeDocument/2006/custom-properties" xmlns:vt="http://schemas.openxmlformats.org/officeDocument/2006/docPropsVTypes"/>
</file>