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الجعبري
</w:t>
      </w:r>
    </w:p>
    <w:p>
      <w:pPr>
        <w:jc w:val="start"/>
        <w:bidi/>
      </w:pPr>
      <w:r>
        <w:rPr>
          <w:rFonts w:ascii="arial" w:hAnsi="arial" w:eastAsia="arial" w:cs="arial"/>
          <w:sz w:val="28"/>
          <w:szCs w:val="28"/>
          <w:b w:val="1"/>
          <w:bCs w:val="1"/>
          <w:rtl/>
        </w:rPr>
        <w:t xml:space="preserve">تقي الدين الجعبري
</w:t>
      </w:r>
    </w:p>
    <w:p>
      <w:pPr/>
      <w:r>
        <w:rPr/>
        <w:t xml:space="preserve">تقي الدين الجعبري محمد بن سليمان بن عبد الله بن سليمان المحدث الفقيه الفاضل تقي الدين الجعبري الشافعي الشاهد، ولد سنة ست وسبع ماية، سمع من الحجار وطبقته وقرأ كثيرا وتخرج بوالد حميه شيخنا الحافظ جمال الدين المزي وقرأ على العامة وهي رفيقي في أكثر مسموعاتي بالشام، وتوفي رحمه الله تعالى سنة خمس وأربعين وسبع ماية، وأجزت له ولأولاده.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2026-07-29T04:50:37+03:00</dcterms:created>
  <dcterms:modified xsi:type="dcterms:W3CDTF">2026-07-29T04:50:37+03:00</dcterms:modified>
</cp:coreProperties>
</file>

<file path=docProps/custom.xml><?xml version="1.0" encoding="utf-8"?>
<Properties xmlns="http://schemas.openxmlformats.org/officeDocument/2006/custom-properties" xmlns:vt="http://schemas.openxmlformats.org/officeDocument/2006/docPropsVTypes"/>
</file>