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الكلنتري
</w:t>
      </w:r>
    </w:p>
    <w:p>
      <w:pPr/>
      <w:r>
        <w:rPr/>
        <w:t xml:space="preserve">الكلنتري  أبو القاسم بن محمد علي بن هادي النوري الطهراني، الشهير بالكلنتري: فقيه إمامي. أصل جده من بلدة ’’ نور’’ من أعمال مازندران، ومولده ووفاته في طهران. و ’’كلنتري’’ نسبة إلى ’’محمود خان كلنتري’’ وهو خال له، صلبه السلطان ناصر الدين القاجاري. ومعنى ’’كلنتر’’ بالفارسية الأكبر أو الأعظم. له (مجموعة رسائل) في الفقه، و (مطارح الأنظار -ط) في أصول الفقه، ورسالة في (الإرث -خ) و (الأدلة العقلية -خ) و (الاستصحاب -خ) من مباحث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2026-10-02T03:11:11+03:00</dcterms:created>
  <dcterms:modified xsi:type="dcterms:W3CDTF">2026-10-02T03:11:11+03:00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