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 البصري
</w:t>
      </w:r>
    </w:p>
    <w:p>
      <w:pPr/>
      <w:r>
        <w:rPr/>
        <w:t xml:space="preserve">التميمي البصري محمد بن الحرث التميمي البصري من عبد شمس بن زيد مناة بن تميم، قال ابن المرزبان: مأموني يقول:</w:t>
      </w:r>
    </w:p>
    <w:p/>
    <w:p>
      <w:pPr>
        <w:jc w:val="center"/>
      </w:pPr>
      <w:r>
        <w:rPr>
          <w:color w:val="ff0000"/>
        </w:rPr>
        <w:t xml:space="preserve">كأن طرف المحب حين يرى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حبيبه خنجر على كبده</w:t>
      </w:r>
    </w:p>
    <w:p/>
    <w:p>
      <w:pPr>
        <w:jc w:val="center"/>
      </w:pPr>
      <w:r>
        <w:rPr>
          <w:color w:val="ff0000"/>
        </w:rPr>
        <w:t xml:space="preserve">قد يكره الشيء وهو منفعة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ويطرف المرء عينه بيده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2026-07-28T21:26:15+03:00</dcterms:created>
  <dcterms:modified xsi:type="dcterms:W3CDTF">2026-07-28T21:26:15+03:00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