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عمر
</w:t>
      </w:r>
    </w:p>
    <w:p>
      <w:pPr>
        <w:jc w:val="start"/>
        <w:bidi/>
      </w:pPr>
      <w:r>
        <w:rPr>
          <w:rFonts w:ascii="arial" w:hAnsi="arial" w:eastAsia="arial" w:cs="arial"/>
          <w:sz w:val="28"/>
          <w:szCs w:val="28"/>
          <w:b w:val="1"/>
          <w:bCs w:val="1"/>
          <w:rtl/>
        </w:rPr>
        <w:t xml:space="preserve">القاسم بن عمر
</w:t>
      </w:r>
    </w:p>
    <w:p>
      <w:pPr/>
      <w:r>
        <w:rPr/>
        <w:t xml:space="preserve">القاسم بن عمر  القاسم بن عمر بن محمد بن الحكم، من بني ثقيف: وال، من رجال العصر المرواني. له شعر. ولاه ’’مروان بن محمد’’ على اليمن (سنة 127) ونشبت في أيامه ثورة الإباضية، بحضرموت واليمن، يقودها ’’طالب الحق’’ عبد الله بن يحيى. وقاتلهم القاسم ليردهم عن صنعاء، فغلبوه وقتلوا أخا له اسمه ’’الصلت’’ فرحل عنها. ومما قاله، بعد خروجه:</w:t>
      </w:r>
    </w:p>
    <w:p/>
    <w:p>
      <w:pPr>
        <w:jc w:val="center"/>
      </w:pPr>
      <w:r>
        <w:rPr>
          <w:color w:val="ff0000"/>
        </w:rPr>
        <w:t xml:space="preserve">ألا ليت شعري هل أدوسن</w:t>
      </w:r>
      <w:r>
        <w:rPr>
          <w:color w:val="ff0000"/>
        </w:rPr>
        <w:t xml:space="preserve">      </w:t>
      </w:r>
      <w:r>
        <w:rPr>
          <w:color w:val="ff0000"/>
        </w:rPr>
        <w:t xml:space="preserve">بالقنا تبالة أو نجران قبل مماتي</w:t>
      </w:r>
    </w:p>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2026-10-02T02:23:08+03:00</dcterms:created>
  <dcterms:modified xsi:type="dcterms:W3CDTF">2026-10-02T02:23:08+03:00</dcterms:modified>
</cp:coreProperties>
</file>

<file path=docProps/custom.xml><?xml version="1.0" encoding="utf-8"?>
<Properties xmlns="http://schemas.openxmlformats.org/officeDocument/2006/custom-properties" xmlns:vt="http://schemas.openxmlformats.org/officeDocument/2006/docPropsVTypes"/>
</file>