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النسفي الحنفي
</w:t>
      </w:r>
    </w:p>
    <w:p>
      <w:pPr>
        <w:jc w:val="start"/>
        <w:bidi/>
      </w:pPr>
      <w:r>
        <w:rPr>
          <w:rFonts w:ascii="arial" w:hAnsi="arial" w:eastAsia="arial" w:cs="arial"/>
          <w:sz w:val="28"/>
          <w:szCs w:val="28"/>
          <w:b w:val="1"/>
          <w:bCs w:val="1"/>
          <w:rtl/>
        </w:rPr>
        <w:t xml:space="preserve">أبو جعفر النسفي الحنفي
</w:t>
      </w:r>
    </w:p>
    <w:p>
      <w:pPr/>
      <w:r>
        <w:rPr/>
        <w:t xml:space="preserve">أبو جعفر النسفي الحنفي محمد بن أحمد بن محمود أبو جعفر النسفي الفقيه الحنفي من ساكني نهر البزازين بالجانب الغربي من بغداذ، كان من أعيان الفقهاء وله تعليقة في الخلاف مشهورة حسنة وكان زاهدا ورعا متعففا فقيرا قنوعا يحكى أنه بات ليلة مهموما من الإضافة وسوء الحال فوقع في خاطره فرع من فروع مذهبه فأعجب به فقام يرقص في داره ويقول أين الملوك وأبناء الملوك فسألته زوجته عن ذلك فأخبرها فتعجبت، حدث بيسير عن أبي بكر أحمد بن علي الجصاص الرازي وأبي القسم عبيد الله البزاز البغداذي وروى عنه أبو حاجب الأستراباذي وأبو نصر الشيرازي، توفي سنة أربع عشرة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2026-07-27T21:05:37+03:00</dcterms:created>
  <dcterms:modified xsi:type="dcterms:W3CDTF">2026-07-27T21:05:37+03:00</dcterms:modified>
</cp:coreProperties>
</file>

<file path=docProps/custom.xml><?xml version="1.0" encoding="utf-8"?>
<Properties xmlns="http://schemas.openxmlformats.org/officeDocument/2006/custom-properties" xmlns:vt="http://schemas.openxmlformats.org/officeDocument/2006/docPropsVTypes"/>
</file>