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الفهاد الشافعي
</w:t>
      </w:r>
    </w:p>
    <w:p>
      <w:pPr>
        <w:jc w:val="start"/>
        <w:bidi/>
      </w:pPr>
      <w:r>
        <w:rPr>
          <w:rFonts w:ascii="arial" w:hAnsi="arial" w:eastAsia="arial" w:cs="arial"/>
          <w:sz w:val="28"/>
          <w:szCs w:val="28"/>
          <w:b w:val="1"/>
          <w:bCs w:val="1"/>
          <w:rtl/>
        </w:rPr>
        <w:t xml:space="preserve">ابن الفهاد الشافعي
</w:t>
      </w:r>
    </w:p>
    <w:p>
      <w:pPr/>
      <w:r>
        <w:rPr/>
        <w:t xml:space="preserve">ابن الفهاد الشافعي محمد بن إبراهيم بن علي فتح الدين القوصي ابن الفهاد، فقيه حسن مشكور السيرة اشتغل بفقه الشافعي على أبيه وغيره وتولى الحكم بسمهود ثم استوطن القاهرة وجلس بحانوت الشهود يعقد الأنكحة وعرف بذلك ومضى على جميل وتوفي سنة أربع وثلثين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الفهاد الشافعي
</w:t>
      </w:r>
    </w:p>
    <w:p>
      <w:pPr/>
      <w:r>
        <w:rPr/>
        <w:t xml:space="preserve">ابن الفهاد الشافعي اسمه محمد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الفهاد القوصي
</w:t>
      </w:r>
    </w:p>
    <w:p>
      <w:pPr/>
      <w:r>
        <w:rPr/>
        <w:t xml:space="preserve">ابن الفهاد القوصي محمد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علي القوصي
</w:t>
      </w:r>
    </w:p>
    <w:p>
      <w:pPr/>
      <w:r>
        <w:rPr/>
        <w:t xml:space="preserve">محمد بن إبراهيم بن علي القوصي محمد بن إبراهيم بن علي القوصي تفقه على أبيه وولي القضاء بسمنود ثم استوطن القاهرة وولي العقود الحكمية ومات في سنة 734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2026-07-28T00:53:25+03:00</dcterms:created>
  <dcterms:modified xsi:type="dcterms:W3CDTF">2026-07-28T00:53:25+03:00</dcterms:modified>
</cp:coreProperties>
</file>

<file path=docProps/custom.xml><?xml version="1.0" encoding="utf-8"?>
<Properties xmlns="http://schemas.openxmlformats.org/officeDocument/2006/custom-properties" xmlns:vt="http://schemas.openxmlformats.org/officeDocument/2006/docPropsVTypes"/>
</file>