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البرزلي
</w:t>
      </w:r>
    </w:p>
    <w:p>
      <w:pPr>
        <w:jc w:val="start"/>
        <w:bidi/>
      </w:pPr>
      <w:r>
        <w:rPr>
          <w:rFonts w:ascii="arial" w:hAnsi="arial" w:eastAsia="arial" w:cs="arial"/>
          <w:sz w:val="28"/>
          <w:szCs w:val="28"/>
          <w:b w:val="1"/>
          <w:bCs w:val="1"/>
          <w:rtl/>
        </w:rPr>
        <w:t xml:space="preserve">البرزلي
</w:t>
      </w:r>
    </w:p>
    <w:p>
      <w:pPr/>
      <w:r>
        <w:rPr/>
        <w:t xml:space="preserve">البرزلي  ابو القاسم بن أحمد بن محمد البلوي القيرواني المعروف بالبرزلي احد ائمة المالكية في المغرب حج ومر بالقاهرة سنة 800 وسكن تونس وانتهت اليه الفتوى فيها وكان ينعت بشيخ الاسلام وعملر طويلا قال السخاوي توفي بتونس عن مئة وثلاث سنين من كتبه (جتمع مسائل الاحكام مما نزل من القضايا للمفتين والحكام -خ) قد يكون مختصرا من كتابه الفتاوى في مجلدين وله الديوان الكبير في الفقه. </w:t>
      </w:r>
    </w:p>
    <w:p>
      <w:pPr>
        <w:jc w:val="start"/>
        <w:bidi/>
      </w:pPr>
      <w:r>
        <w:rPr>
          <w:sz w:val="24"/>
          <w:szCs w:val="24"/>
          <w:b w:val="1"/>
          <w:bCs w:val="1"/>
          <w:rtl/>
        </w:rPr>
        <w:t xml:space="preserve">
الأعلام،(دار العلم للملايين - بيروت،2002،ط 15،ج 5،ص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البرزلي
</w:t>
      </w:r>
    </w:p>
    <w:p>
      <w:pPr/>
      <w:r>
        <w:rPr/>
        <w:t xml:space="preserve">البرزلي  أبو الفضل، أبو القاسم بن أحمد بن محمد بن المعتل البلوي المعروف بالبرزلي القيرواني من أعلام المالكية في العصر الحفصي، ويلقب بشيخ الإسلام.</w:t>
      </w:r>
    </w:p>
    <w:p/>
    <w:p>
      <w:pPr/>
      <w:r>
        <w:rPr/>
        <w:t xml:space="preserve">قرأ على الفقيه المحدث الراوية الخطيب محمد بن مرزوق التلمساني شيئا من الصحيحين، والشاطبيتين (حرز الأماني، وعقيلة أتراب القصائد)، وتكملة القيجاطي لحرز الأماني، والدرر اللوامع لابن بري يرويهما عن مؤلفيهما، والعمدة، وغيرها. وعلى الفقيه المحدث الراوية المسن الصالح أبي الحسن البطرني القراءات السبع، وكتبا كثيرة وأحزاب أبي الحسن الشاذلي عن ماضي بن سلطان. وعلى الإمام ابن عرفة، ولازمه نحو أربعين سنة، وأخذ عنه علمه وهديه وطريقته، قرأ عليه بعض صحيح مسلم، وجميع صحيح البخاري، والموطأ، والشفا للقاضي عياض، وعلوم الحديث لابن الصلاح، وجميع تهذيب المدونة للبراذعي مرارا، وتأليف ابن الحاجب الفرعي، وكثيرا من تأليف ابن الحاجب الأصلي ومعالم الدين لابن التلمساني، وجمل الخونجي في المنطق، وكثيرا من المحصل للأرموي في الأصول، وإلقاء التفسير مرارا، وقرأ عليه مختصره المنطقي، وفي الأصلين وأكثر مختصره الفقهي، وأجازه الجميع وغيره، وكتب له بخطه مرارا. وقرأ على الفقيه المقرئ الرواية محمد بن مسعود المعروف بابن الحاجة البلنسي القراءات السبع وغيرها، وعلى الفقيه الصالح الرواية المتفنن أبي محمد عبد الله الشبيبي القيرواني القراءات السبع وغيرها، وتهذيب المدونة، والتفريغ لابن الجلاب، والرسالة لابن أبي زيد وغيرها من كتب الفقه، والموطأ، وصحيح مسلم، والحساب، والفرائض،</w:t>
      </w:r>
    </w:p>
    <w:p/>
    <w:p>
      <w:pPr/>
      <w:r>
        <w:rPr/>
        <w:t xml:space="preserve">والتنجيم، ولازمه من حدود سنة ستين وسبعمائة إلى عام سبعين وسبعمائة. وعلى الفقيه الصالح قاضي الجماعة بتونس العدل الحافظ للمذهب أحمد بن حيدرة التوزري لازمه كثيرا وأخذ عنه مسائل كثيرة. وقرأ على الفقيه الصالح العدل أبي العباس أحمد المومناني الصحيحين، والشفا وغيرهما، وكذا أخيه الفقيه الصالح العدل أبي زيد عبد الرحمن، قرأ عليه شيئا من كتاب ابن الحاجب الأصلي وأذن له في إقرائه. وعلى الفقيه المحدث الرواية برهان الدين الشامي قرأ عليه أبعاضا من صحيح البخاري، والترمذي والشفا، والشاطبية وغيرها وناوله فهرسته. وعلى الراوية المحدث المعمر أبي إسحاق إبراهيم بن صديق الرسام.</w:t>
      </w:r>
    </w:p>
    <w:p/>
    <w:p>
      <w:pPr/>
      <w:r>
        <w:rPr/>
        <w:t xml:space="preserve">قدم القاهرة حاجا سنة 806/ 1403 وأجاز للحافظ ابن حجر العسقلاني.</w:t>
      </w:r>
    </w:p>
    <w:p/>
    <w:p>
      <w:pPr/>
      <w:r>
        <w:rPr/>
        <w:t xml:space="preserve">ومن تلامذته ابن ناجي، وحلولو، والرصاع، وعبد الرحمن الثعالبي الجزائري، ومحمد بن أحمد عظوم القيرواني، وابن مرزوق التلمساني الحفيد والأخوان القدشانيان وغيرهم.</w:t>
      </w:r>
    </w:p>
    <w:p/>
    <w:p>
      <w:pPr/>
      <w:r>
        <w:rPr/>
        <w:t xml:space="preserve">وقع نزاع طويل بينه وبين معاصره أحمد الشماع والد المؤرخ صاحب «الأدلة البينة النورانية» وقاضي محلة السلطان أبي فارس عزوز الحفصي في مسألة العقوبة بالمال التي يقول بها البرزلي، فرد على البرزلي، وشنع عليه غاية في القول بجوازها، وألف فيها تأليفا في كراريس سماه «مطلع التمام ومنجاة الخواص والعوام، في رد القول بإباحة غرم ذوي الإجرام» وذكر فيه أنه تواتر عن شيخه ابن عرفة أنه كان يقول في سجوده «اللهم احفظ دين محمد صلى الله عليه وسلم من البرزلي ».</w:t>
      </w:r>
    </w:p>
    <w:p/>
    <w:p>
      <w:pPr/>
      <w:r>
        <w:rPr/>
        <w:t xml:space="preserve">تولى شيخا بمدرسة ابن تافراجين ولما توفي الشيخ أبو مهدي عيسى الغبريني سنة 1413/ 815 تولى الإمامة والخطابة بجامع الزيتونة والفتيا به بعد صلاة الجمعة.</w:t>
      </w:r>
    </w:p>
    <w:p/>
    <w:p>
      <w:pPr/>
      <w:r>
        <w:rPr/>
        <w:t xml:space="preserve">تآليفه:</w:t>
      </w:r>
    </w:p>
    <w:p/>
    <w:p>
      <w:pPr/>
      <w:r>
        <w:rPr/>
        <w:t xml:space="preserve">1 - جامع مسائل الأحكام فيما نزل بالمفتين والحكام، ويعرف بديوان البرزلي في أربعة أجزاء في مجلدين كبيرين منه أربع نسخ بالمكتبة الوطنية بتونس.</w:t>
      </w:r>
    </w:p>
    <w:p/>
    <w:p>
      <w:pPr/>
      <w:r>
        <w:rPr/>
        <w:t xml:space="preserve">جلب فيه فتاوى كثير من التونسيين، وبالخصوص رجال العصر الصنهاجي والحفصي، وفي بعضها معلومات عن الحياة الاجتماعية والاقتصادية وأحداث تاريخية بحيث لا يستغني عنه الباحث التاريخي في هذين العصرين وقد اعتمد عليه الونشريسي عند ما تمس الحاجة لجلب فتاوى التونسيين في «معياره».</w:t>
      </w:r>
    </w:p>
    <w:p/>
    <w:p>
      <w:pPr/>
      <w:r>
        <w:rPr/>
        <w:t xml:space="preserve">2 - الحاوي في الفتاوي ويعرف بنوازل البرزلي مخطوط في المكتبة الوطنية بتونس رقم 4851 اختصره تلميذاه حلولو، والبوسعيدي البجائي، ومن مختصر هذا الأخير نسخة في المكتبة الوطنية.</w:t>
      </w:r>
    </w:p>
    <w:p/>
    <w:p>
      <w:pPr/>
      <w:r>
        <w:rPr/>
        <w:t xml:space="preserve">قال البرزلي في مقدمة هذا الكتاب: «قصدت جمع أسئلة اختصرتها من نوازل ابن رشد وابن الحاج والحاوي لابن عبد النور، وأسئلة غير الذين ذكرتهم من أيمة المالكية، مما اخترناه ووقعت به فتوانا، واختاره بعض مشايخنا وما لا عزو فيه فقد نقلته من كتب مشهورة مما اختصرته أو رويته».وهو في جزءين توجد منه نسخة في المكتبة الوطنية.</w:t>
      </w:r>
    </w:p>
    <w:p/>
    <w:p>
      <w:pPr/>
      <w:r>
        <w:rPr/>
        <w:t xml:space="preserve">3 - فهرسة في أسماء شيوخه ومروياته في نحو ستة كراريس.</w:t>
      </w:r>
    </w:p>
    <w:p/>
    <w:p>
      <w:pPr/>
      <w:r>
        <w:rPr/>
        <w:t xml:space="preserve">المصادر والمراجع:</w:t>
      </w:r>
    </w:p>
    <w:p/>
    <w:p>
      <w:pPr/>
      <w:r>
        <w:rPr/>
        <w:t xml:space="preserve">- إتحاف أهل الزمان 7/ 62.</w:t>
      </w:r>
    </w:p>
    <w:p/>
    <w:p>
      <w:pPr/>
      <w:r>
        <w:rPr/>
        <w:t xml:space="preserve">- الأعلام 6/ 6.</w:t>
      </w:r>
    </w:p>
    <w:p/>
    <w:p>
      <w:pPr/>
      <w:r>
        <w:rPr/>
        <w:t xml:space="preserve">- برنامج المكتبة الصادقية (العبدلية) 4/ 251 - 252.</w:t>
      </w:r>
    </w:p>
    <w:p/>
    <w:p>
      <w:pPr/>
      <w:r>
        <w:rPr/>
        <w:t xml:space="preserve">- البستان في ذكر الأولياء والعلماء بتلمسان لابن مريم، تحقيق محمد بن أبي شنب (الجزائر 1326/ 1908 و 150 - 152).</w:t>
      </w:r>
    </w:p>
    <w:p/>
    <w:p>
      <w:pPr/>
      <w:r>
        <w:rPr/>
        <w:t xml:space="preserve">- تاريخ الدولتين 96، 118، 122.</w:t>
      </w:r>
    </w:p>
    <w:p/>
    <w:p>
      <w:pPr/>
      <w:r>
        <w:rPr/>
        <w:t xml:space="preserve">- تاريخ معالم التوحيد 20.</w:t>
      </w:r>
    </w:p>
    <w:p/>
    <w:p>
      <w:pPr/>
      <w:r>
        <w:rPr/>
        <w:t xml:space="preserve">- تكميل الصلحاء والأعيان 9، 11.</w:t>
      </w:r>
    </w:p>
    <w:p/>
    <w:p>
      <w:pPr/>
      <w:r>
        <w:rPr/>
        <w:t xml:space="preserve">- الحلل السندسية 1 ق 3/ 701، 703 [1/ 685].</w:t>
      </w:r>
    </w:p>
    <w:p/>
    <w:p>
      <w:pPr/>
      <w:r>
        <w:rPr/>
        <w:t xml:space="preserve">- درة الحجال 3/ 282.</w:t>
      </w:r>
    </w:p>
    <w:p/>
    <w:p>
      <w:pPr/>
      <w:r>
        <w:rPr/>
        <w:t xml:space="preserve">- شجرة النور الزكية 245.</w:t>
      </w:r>
    </w:p>
    <w:p/>
    <w:p>
      <w:pPr/>
      <w:r>
        <w:rPr/>
        <w:t xml:space="preserve">- الضوء اللامع 1/ 433.</w:t>
      </w:r>
    </w:p>
    <w:p/>
    <w:p>
      <w:pPr/>
      <w:r>
        <w:rPr/>
        <w:t xml:space="preserve">- الفكر السامي في تاريخ الفقه الإسلامي 4/ 91.</w:t>
      </w:r>
    </w:p>
    <w:p/>
    <w:p>
      <w:pPr/>
      <w:r>
        <w:rPr/>
        <w:t xml:space="preserve">- معجم المؤلفين 2/ 158.</w:t>
      </w:r>
    </w:p>
    <w:p/>
    <w:p>
      <w:pPr/>
      <w:r>
        <w:rPr/>
        <w:t xml:space="preserve">- نزهة الأنظار 1/ 242.</w:t>
      </w:r>
    </w:p>
    <w:p/>
    <w:p>
      <w:pPr/>
      <w:r>
        <w:rPr/>
        <w:t xml:space="preserve">- نيل الابتهاج 225، 226.</w:t>
      </w:r>
    </w:p>
    <w:p/>
    <w:p>
      <w:pPr/>
      <w:r>
        <w:rPr/>
        <w:t xml:space="preserve">- هدية العارفين 2/ 194.</w:t>
      </w:r>
    </w:p>
    <w:p/>
    <w:p>
      <w:pPr/>
      <w:r>
        <w:rPr/>
        <w:t xml:space="preserve">- بروكلمان 2/ 319.</w:t>
      </w:r>
    </w:p>
    <w:p/>
    <w:p>
      <w:pPr/>
      <w:r>
        <w:rPr/>
        <w:t xml:space="preserve">- الملحق 2/ 437.</w:t>
      </w:r>
    </w:p>
    <w:p/>
    <w:p>
      <w:pPr/>
      <w:r>
        <w:rPr/>
        <w:t xml:space="preserve">- دائرة المعارف الإسلامية (ط 2 بالفرنسية) بقلم هادي روجي إدريس 1/ 1381.</w:t>
      </w:r>
    </w:p>
    <w:p/>
    <w:p>
      <w:pPr/>
      <w:r>
        <w:rPr/>
        <w:t xml:space="preserve">- بلاد البربر الشرقية في عهد الحفصيين لروبير برانشفيك (اليهودي الفرنسي نزيل إسرائيل الآن) ج.2 الفهرس 456.</w:t>
      </w:r>
    </w:p>
    <w:p/>
    <w:p>
      <w:pPr/>
      <w:r>
        <w:rPr/>
        <w:t xml:space="preserve">- مسامرات الظريف 104، 105.</w:t>
      </w:r>
    </w:p>
    <w:p/>
    <w:p>
      <w:pPr/>
      <w:r>
        <w:rPr/>
        <w:t xml:space="preserve">- إيضاح المكنون 1/ 358، 2/ 56، 100، 155، 156.</w:t>
      </w:r>
    </w:p>
    <w:p/>
    <w:p>
      <w:pPr/>
      <w:r>
        <w:rPr/>
        <w:t xml:space="preserve">- بغية الوعاة 2/ 359.</w:t>
      </w:r>
    </w:p>
    <w:p/>
    <w:p>
      <w:pPr/>
      <w:r>
        <w:rPr/>
        <w:t xml:space="preserve">- الأعلام 5/ 172 (ط 5/).</w:t>
      </w:r>
    </w:p>
    <w:p/>
    <w:p>
      <w:pPr/>
      <w:r>
        <w:rPr/>
        <w:t xml:space="preserve">- توشيح الديباج 267 (دار الغرب الإسلامي، بيروت 1983).</w:t>
      </w:r>
    </w:p>
    <w:p/>
    <w:p>
      <w:pPr/>
      <w:r>
        <w:rPr/>
        <w:t xml:space="preserve">- معجم المؤلفين 8/ 94.</w:t>
      </w:r>
    </w:p>
    <w:p/>
    <w:p>
      <w:pPr/>
      <w:r>
        <w:rPr/>
        <w:t xml:space="preserve">- كتاب الفتاوي وقيمتها الاجتماعية - مثال نوازل البزلي، فصلة مستلة من حوليات الجامعة التونسية بقلم الأستاذ سعد غراب ع 16/ 1948.</w:t>
      </w:r>
    </w:p>
    <w:p/>
    <w:p>
      <w:pPr/>
      <w:r>
        <w:rPr/>
        <w:t xml:space="preserve">- دائرة المعارف الإسلامية (ط 1/) 7/ 47 - 48 بقلم بروكلمان.</w:t>
      </w:r>
    </w:p>
    <w:p/>
    <w:p>
      <w:pPr/>
      <w:r>
        <w:rPr/>
        <w:t xml:space="preserve">- برنامج المكتبة الصادقية 4/ 351، 352.</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بن أحمد البرزلي.
</w:t>
      </w:r>
    </w:p>
    <w:p>
      <w:pPr/>
      <w:r>
        <w:rPr/>
        <w:t xml:space="preserve">أبو القاسم بن أحمد البرزلي. </w:t>
      </w:r>
    </w:p>
    <w:p/>
    <w:p/>
    <w:p>
      <w:pPr/>
      <w:r>
        <w:rPr/>
        <w:t xml:space="preserve">الفقيه النوازلي الحافظ. له نوازل في الفقه.</w:t>
      </w:r>
    </w:p>
    <w:p/>
    <w:p/>
    <w:p>
      <w:pPr/>
      <w:r>
        <w:rPr/>
        <w:t xml:space="preserve">توفي بتونس المحروسة سنة 842.</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2026-10-02T01:40:12+03:00</dcterms:created>
  <dcterms:modified xsi:type="dcterms:W3CDTF">2026-10-02T01:40:12+03:00</dcterms:modified>
</cp:coreProperties>
</file>

<file path=docProps/custom.xml><?xml version="1.0" encoding="utf-8"?>
<Properties xmlns="http://schemas.openxmlformats.org/officeDocument/2006/custom-properties" xmlns:vt="http://schemas.openxmlformats.org/officeDocument/2006/docPropsVTypes"/>
</file>