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فهد السعدون
</w:t>
      </w:r>
    </w:p>
    <w:p>
      <w:pPr>
        <w:jc w:val="start"/>
        <w:bidi/>
      </w:pPr>
      <w:r>
        <w:rPr>
          <w:rFonts w:ascii="arial" w:hAnsi="arial" w:eastAsia="arial" w:cs="arial"/>
          <w:sz w:val="28"/>
          <w:szCs w:val="28"/>
          <w:b w:val="1"/>
          <w:bCs w:val="1"/>
          <w:rtl/>
        </w:rPr>
        <w:t xml:space="preserve">فهد السعدون
</w:t>
      </w:r>
    </w:p>
    <w:p>
      <w:pPr/>
      <w:r>
        <w:rPr/>
        <w:t xml:space="preserve">فهد السعدون  فهد بن علي بن ثامر السعدون: ممن تولوا مشيخة (المنتفق) في العراق. كان تابعا لولاية بغداد (في عهد العثماني) ومنحته الدولة رتبة (باشا) سنة 1280هـ. واستمر إلى أن تغلب عليه ناصر بن راشد السعدون سنة 1283 وأعيد تعيينه سنة 1294-1296. </w:t>
      </w:r>
    </w:p>
    <w:p>
      <w:pPr>
        <w:jc w:val="start"/>
        <w:bidi/>
      </w:pPr>
      <w:r>
        <w:rPr>
          <w:sz w:val="24"/>
          <w:szCs w:val="24"/>
          <w:b w:val="1"/>
          <w:bCs w:val="1"/>
          <w:rtl/>
        </w:rPr>
        <w:t xml:space="preserve">
الأعلام،(دار العلم للملايين - بيروت،2002،ط 15،ج 5،ص 157)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2026-10-01T23:36:49+03:00</dcterms:created>
  <dcterms:modified xsi:type="dcterms:W3CDTF">2026-10-01T23:36:49+03:00</dcterms:modified>
</cp:coreProperties>
</file>

<file path=docProps/custom.xml><?xml version="1.0" encoding="utf-8"?>
<Properties xmlns="http://schemas.openxmlformats.org/officeDocument/2006/custom-properties" xmlns:vt="http://schemas.openxmlformats.org/officeDocument/2006/docPropsVTypes"/>
</file>