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ديتريشي
</w:t>
      </w:r>
    </w:p>
    <w:p>
      <w:pPr>
        <w:jc w:val="start"/>
        <w:bidi/>
      </w:pPr>
      <w:r>
        <w:rPr>
          <w:rFonts w:ascii="arial" w:hAnsi="arial" w:eastAsia="arial" w:cs="arial"/>
          <w:sz w:val="28"/>
          <w:szCs w:val="28"/>
          <w:b w:val="1"/>
          <w:bCs w:val="1"/>
          <w:rtl/>
        </w:rPr>
        <w:t xml:space="preserve">ديتريشي
</w:t>
      </w:r>
    </w:p>
    <w:p>
      <w:pPr/>
      <w:r>
        <w:rPr/>
        <w:t xml:space="preserve">ديتريشي  فريدريش ديتريشي Friedrich Dietrici مستشرق الماني، مولده ووفاته ببرلين. زار مصر وبعض البلاد الشرقية الاخرى وعاد إلى وطنه فعين استاذا للعربية في برلين. ونشر (الفية ابن مالك) و(شرح ديوان المتنبي) للواحدي، ووضع له فهارس. </w:t>
      </w:r>
    </w:p>
    <w:p/>
    <w:p>
      <w:pPr/>
      <w:r>
        <w:rPr/>
        <w:t xml:space="preserve">و(الثمرة المرضية في بعض الرسالات الفارابية) و(خلاصة الوفا باختصار رسائل اخوان الصفا) و(نخبة من يتيمة الدهر) للثعالبي. </w:t>
      </w:r>
    </w:p>
    <w:p/>
    <w:p>
      <w:pPr/>
      <w:r>
        <w:rPr/>
        <w:t xml:space="preserve">وترجم عن العربية مقولات ارسطوا. </w:t>
      </w:r>
    </w:p>
    <w:p>
      <w:pPr>
        <w:jc w:val="start"/>
        <w:bidi/>
      </w:pPr>
      <w:r>
        <w:rPr>
          <w:sz w:val="24"/>
          <w:szCs w:val="24"/>
          <w:b w:val="1"/>
          <w:bCs w:val="1"/>
          <w:rtl/>
        </w:rPr>
        <w:t xml:space="preserve">
الأعلام،(دار العلم للملايين - بيروت،2002،ط 15،ج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2026-10-01T20:48:28+03:00</dcterms:created>
  <dcterms:modified xsi:type="dcterms:W3CDTF">2026-10-01T20:48:28+03:00</dcterms:modified>
</cp:coreProperties>
</file>

<file path=docProps/custom.xml><?xml version="1.0" encoding="utf-8"?>
<Properties xmlns="http://schemas.openxmlformats.org/officeDocument/2006/custom-properties" xmlns:vt="http://schemas.openxmlformats.org/officeDocument/2006/docPropsVTypes"/>
</file>