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w:t>
      </w:r>
    </w:p>
    <w:p>
      <w:pPr>
        <w:jc w:val="start"/>
        <w:bidi/>
      </w:pPr>
      <w:r>
        <w:rPr>
          <w:rFonts w:ascii="arial" w:hAnsi="arial" w:eastAsia="arial" w:cs="arial"/>
          <w:sz w:val="28"/>
          <w:szCs w:val="28"/>
          <w:b w:val="1"/>
          <w:bCs w:val="1"/>
          <w:rtl/>
        </w:rPr>
        <w:t xml:space="preserve">فاروق
</w:t>
      </w:r>
    </w:p>
    <w:p>
      <w:pPr/>
      <w:r>
        <w:rPr/>
        <w:t xml:space="preserve">فاروق  فاروق (الملك) بن أحمد فؤاد (الملك) بن إسماعيل (الخديوي) بن إبراهيم بن محمد علي: آخر من حكم مصر من أسرة محمد علي، وآخر من لقب بالملك فيها. ولد في القاهرة وتعلم بها وبفرنسا وبانكلترة. وخلف أباه ملكا على مصر سنة 1936 م، وأرغمته ثورة مصر (1952 م) على خلع نفسه، فنزل عن العرش لابنه الطفل (أحمد فؤاد الثاني) الذي ما لبث أن خلع، بتحويل مصر إلى جمهورية. وأقام فاروق في رومة (العامة الايطالية) يزور منها أحيانا سويسرة وفرنسة، إلى أن توفي برومة. وكان قد أوصى بأن يدفن في المدينة المنورة. </w:t>
      </w:r>
    </w:p>
    <w:p>
      <w:pPr>
        <w:jc w:val="start"/>
        <w:bidi/>
      </w:pPr>
      <w:r>
        <w:rPr>
          <w:sz w:val="24"/>
          <w:szCs w:val="24"/>
          <w:b w:val="1"/>
          <w:bCs w:val="1"/>
          <w:rtl/>
        </w:rPr>
        <w:t xml:space="preserve">
الأعلام،(دار العلم للملايين - بيروت،2002،ط 15،ج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2026-10-01T16:48:14+03:00</dcterms:created>
  <dcterms:modified xsi:type="dcterms:W3CDTF">2026-10-01T16:48:14+03:00</dcterms:modified>
</cp:coreProperties>
</file>

<file path=docProps/custom.xml><?xml version="1.0" encoding="utf-8"?>
<Properties xmlns="http://schemas.openxmlformats.org/officeDocument/2006/custom-properties" xmlns:vt="http://schemas.openxmlformats.org/officeDocument/2006/docPropsVTypes"/>
</file>