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الغيطلة
</w:t>
      </w:r>
    </w:p>
    <w:p>
      <w:pPr>
        <w:jc w:val="start"/>
        <w:bidi/>
      </w:pPr>
      <w:r>
        <w:rPr>
          <w:rFonts w:ascii="arial" w:hAnsi="arial" w:eastAsia="arial" w:cs="arial"/>
          <w:sz w:val="28"/>
          <w:szCs w:val="28"/>
          <w:b w:val="1"/>
          <w:bCs w:val="1"/>
          <w:rtl/>
        </w:rPr>
        <w:t xml:space="preserve">الغيطلة
</w:t>
      </w:r>
    </w:p>
    <w:p>
      <w:pPr/>
      <w:r>
        <w:rPr/>
        <w:t xml:space="preserve">الغيطلة  الغيطلة بنت مالك بن الحارث بن عمرو ابن الصعق، من بني مرة، من كنانة: كاهنة، عرفت في الحجاز قبيل الاسلام. ونقلت عنها سجعات فسرت بانها تبنأت بما اصاب بني كعب بن لؤي، بالشعب، في وقعتي بدر وأحد. وهي زوجة سهم بن عمرو بن هصيص، يقال لبنيها منه (الغياطل) وقيل: هي من بني سهم. </w:t>
      </w:r>
    </w:p>
    <w:p>
      <w:pPr>
        <w:jc w:val="start"/>
        <w:bidi/>
      </w:pPr>
      <w:r>
        <w:rPr>
          <w:sz w:val="24"/>
          <w:szCs w:val="24"/>
          <w:b w:val="1"/>
          <w:bCs w:val="1"/>
          <w:rtl/>
        </w:rPr>
        <w:t xml:space="preserve">
الأعلام،(دار العلم للملايين - بيروت،2002،ط 15،ج 5،ص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2026-10-01T16:04:14+03:00</dcterms:created>
  <dcterms:modified xsi:type="dcterms:W3CDTF">2026-10-01T16:04:14+03:00</dcterms:modified>
</cp:coreProperties>
</file>

<file path=docProps/custom.xml><?xml version="1.0" encoding="utf-8"?>
<Properties xmlns="http://schemas.openxmlformats.org/officeDocument/2006/custom-properties" xmlns:vt="http://schemas.openxmlformats.org/officeDocument/2006/docPropsVTypes"/>
</file>