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قطيعة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قطيعة
</w:t>
      </w:r>
    </w:p>
    <w:p>
      <w:pPr/>
      <w:r>
        <w:rPr/>
        <w:t xml:space="preserve">غالب بن قطيعة  غالب بن قطيعة بن عبس بن بغيض، من غطفان، من عدنان: جد جاهلي. من نسله عنترة والحطيئة. ومن قصيدة لشميت ابن زنباع الرياحي:</w:t>
      </w:r>
    </w:p>
    <w:p/>
    <w:p>
      <w:pPr>
        <w:jc w:val="center"/>
      </w:pPr>
      <w:r>
        <w:rPr>
          <w:color w:val="ff0000"/>
        </w:rPr>
        <w:t xml:space="preserve">فأبلغ أبا حمران أن رماحنا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قضت وطرأ من (غالب)</w:t>
      </w:r>
    </w:p>
    <w:p/>
    <w:p>
      <w:pPr/>
      <w:r>
        <w:rPr/>
        <w:t xml:space="preserve">وتغلت أي تغالت.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2026-10-01T13:42:32+03:00</dcterms:created>
  <dcterms:modified xsi:type="dcterms:W3CDTF">2026-10-01T13:42:32+03:00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