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القعيطي
</w:t>
      </w:r>
    </w:p>
    <w:p>
      <w:pPr>
        <w:jc w:val="start"/>
        <w:bidi/>
      </w:pPr>
      <w:r>
        <w:rPr>
          <w:rFonts w:ascii="arial" w:hAnsi="arial" w:eastAsia="arial" w:cs="arial"/>
          <w:sz w:val="28"/>
          <w:szCs w:val="28"/>
          <w:b w:val="1"/>
          <w:bCs w:val="1"/>
          <w:rtl/>
        </w:rPr>
        <w:t xml:space="preserve">القعيطي
</w:t>
      </w:r>
    </w:p>
    <w:p>
      <w:pPr/>
      <w:r>
        <w:rPr/>
        <w:t xml:space="preserve">القعيطي  غالب بن عوض بن محمد بن عمر القعيطي اليافعي: سلطان الملكلا والشحر. كان لين الجانب وديعا. ولى بعد وفاة أبيه، آخر سنة 1328هـ. وضم إلى بلاده وادي دوعن الشمالي والجنوبي، ووادي حجر وميفع والريدة وبالحاف. وانعقدت بينه وبين آل كثير أصحاب سيوون وتريم (من بلاد حضرموت) معاهدة من احدى عشرة مادة. وتوسط سنة 1337 بالصلح بين يافع وإمام اليمن، فنجح. وكانت اقامته على الاكثر في حيدآباد الدكن (بالهند) وتوفى بها ودفن إلى جانب ابيه بمقبرة أكبر شاه. </w:t>
      </w:r>
    </w:p>
    <w:p>
      <w:pPr>
        <w:jc w:val="start"/>
        <w:bidi/>
      </w:pPr>
      <w:r>
        <w:rPr>
          <w:sz w:val="24"/>
          <w:szCs w:val="24"/>
          <w:b w:val="1"/>
          <w:bCs w:val="1"/>
          <w:rtl/>
        </w:rPr>
        <w:t xml:space="preserve">
الأعلام،(دار العلم للملايين - بيروت،2002،ط 15،ج 5،ص 114)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2026-10-01T13:39:56+03:00</dcterms:created>
  <dcterms:modified xsi:type="dcterms:W3CDTF">2026-10-01T13:39:56+03:00</dcterms:modified>
</cp:coreProperties>
</file>

<file path=docProps/custom.xml><?xml version="1.0" encoding="utf-8"?>
<Properties xmlns="http://schemas.openxmlformats.org/officeDocument/2006/custom-properties" xmlns:vt="http://schemas.openxmlformats.org/officeDocument/2006/docPropsVTypes"/>
</file>