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ضبيعة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ضبيعة
</w:t>
      </w:r>
    </w:p>
    <w:p>
      <w:pPr/>
      <w:r>
        <w:rPr/>
        <w:t xml:space="preserve">عمرو بن ضبيعة  عمرو بن ضبيعة الرقاشي: شجاع، من الرؤساء. خرج مع ابن الأشعث على الحجاج وعبد الملك بن مروان، بالعراق. وشهد وقعة دير الجماجم، وقتل يوم مسكن. وكان شاعرا، له في حماسة أبي تمام أبيات، منها قوله:</w:t>
      </w:r>
    </w:p>
    <w:p/>
    <w:p>
      <w:pPr>
        <w:jc w:val="center"/>
      </w:pPr>
      <w:r>
        <w:rPr>
          <w:color w:val="ff0000"/>
        </w:rPr>
        <w:t xml:space="preserve">ألا ليقل من شاء ما شاء، 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إنما يلام الفتى فيما استطاع من الأمر.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2026-10-01T04:55:36+03:00</dcterms:created>
  <dcterms:modified xsi:type="dcterms:W3CDTF">2026-10-01T04:55:36+03:00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