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جفنة
</w:t>
      </w:r>
    </w:p>
    <w:p>
      <w:pPr>
        <w:jc w:val="start"/>
        <w:bidi/>
      </w:pPr>
      <w:r>
        <w:rPr>
          <w:rFonts w:ascii="arial" w:hAnsi="arial" w:eastAsia="arial" w:cs="arial"/>
          <w:sz w:val="28"/>
          <w:szCs w:val="28"/>
          <w:b w:val="1"/>
          <w:bCs w:val="1"/>
          <w:rtl/>
        </w:rPr>
        <w:t xml:space="preserve">عمرو بن جفنة
</w:t>
      </w:r>
    </w:p>
    <w:p>
      <w:pPr/>
      <w:r>
        <w:rPr/>
        <w:t xml:space="preserve">عمرو بن جفنة  عمرو بن جفنة بن عمرو مزيقياء الأزدي الغساني، من قحطان: أول من لبس التاج من ملوك غسان بالشام. قاتل الروم في أرض (البلقاء) وهزمهم. ثم التقى بهم في مرج الظباء (يوم حليمة) فتكاثروا عليه، فصالحهم على أن يؤدي للقيصر دينارا عن كل واحد من رعاياه، جزية، فكانت الجباية بدمشق. وعاد فثار على الروم، فصالحه قيصر على أن يكون للأزد ملك بادية الشام، استقلالا. واستمر نحو خمسة عشر عاما. وترك آثارا قيل: أكثرها أديرة. وكان في أوائل القرن الثاني للميلاد. </w:t>
      </w:r>
    </w:p>
    <w:p>
      <w:pPr>
        <w:jc w:val="start"/>
        <w:bidi/>
      </w:pPr>
      <w:r>
        <w:rPr>
          <w:sz w:val="24"/>
          <w:szCs w:val="24"/>
          <w:b w:val="1"/>
          <w:bCs w:val="1"/>
          <w:rtl/>
        </w:rPr>
        <w:t xml:space="preserve">
الأعلام،(دار العلم للملايين - بيروت،2002،ط 15،ج 5،ص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2026-10-01T03:57:40+03:00</dcterms:created>
  <dcterms:modified xsi:type="dcterms:W3CDTF">2026-10-01T03:57:40+03:00</dcterms:modified>
</cp:coreProperties>
</file>

<file path=docProps/custom.xml><?xml version="1.0" encoding="utf-8"?>
<Properties xmlns="http://schemas.openxmlformats.org/officeDocument/2006/custom-properties" xmlns:vt="http://schemas.openxmlformats.org/officeDocument/2006/docPropsVTypes"/>
</file>