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عمرو بن امرئ القيس، من بني الحارث بن الخزرج: شاعر جاهلي. كانت في أيامه الحرب بين الأوس والخزرج واستمرت عشرين سنة. واشتهرت له فيها قصيدة يخاطب بها مالك بن العجلان، من أبياتها:</w:t>
      </w:r>
    </w:p>
    <w:p/>
    <w:p>
      <w:pPr>
        <w:jc w:val="center"/>
      </w:pPr>
      <w:r>
        <w:rPr>
          <w:color w:val="ff0000"/>
        </w:rPr>
        <w:t xml:space="preserve">نمشي إلى الموت من حفائظنا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مشيا ذريعا، وحكمنا نصف</w:t>
      </w:r>
    </w:p>
    <w:p/>
    <w:p>
      <w:pPr/>
      <w:r>
        <w:rPr/>
        <w:t xml:space="preserve">وكان الصلح في تلك الحرب على يد ثابت بن منذر، والد (حسان) شاعر النبي (ص).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2026-10-01T02:58:06+03:00</dcterms:created>
  <dcterms:modified xsi:type="dcterms:W3CDTF">2026-10-01T02:58:06+03:00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