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الرسولي
</w:t>
      </w:r>
    </w:p>
    <w:p>
      <w:pPr>
        <w:jc w:val="start"/>
        <w:bidi/>
      </w:pPr>
      <w:r>
        <w:rPr>
          <w:rFonts w:ascii="arial" w:hAnsi="arial" w:eastAsia="arial" w:cs="arial"/>
          <w:sz w:val="28"/>
          <w:szCs w:val="28"/>
          <w:b w:val="1"/>
          <w:bCs w:val="1"/>
          <w:rtl/>
        </w:rPr>
        <w:t xml:space="preserve">الأشرف الرسولي
</w:t>
      </w:r>
    </w:p>
    <w:p>
      <w:pPr/>
      <w:r>
        <w:rPr/>
        <w:t xml:space="preserve">الأشرف الرسولي  عمر بن يوسف بن عمر بن علي بن رسول، أبو حفص، ممهد الدين، الملك الأشرف: ثالث ملوك الدولة الرسولية في اليمن. كان عالما فاضلا حسن السيرة. أكثر من الاطلاع على كتب الأنساب والطب والفلك. وانتدبه أبوه (الملك المظفر) للمهمات، ثم نزل له عن الملك قبيل وفاته (سنة 694هـ) فاستمر قرابة سنتين، وتوفى بتعز. له كتب، منها (الأسطرلاب- خ) و (طرفة الأصحاب في معرفة الأنساب- ط) و (المعتمد في مفردات الطب- خ) و (التبصرة في علم النجوم- خ) و (المغني في البيطرة- خ). </w:t>
      </w:r>
    </w:p>
    <w:p>
      <w:pPr>
        <w:jc w:val="start"/>
        <w:bidi/>
      </w:pPr>
      <w:r>
        <w:rPr>
          <w:sz w:val="24"/>
          <w:szCs w:val="24"/>
          <w:b w:val="1"/>
          <w:bCs w:val="1"/>
          <w:rtl/>
        </w:rPr>
        <w:t xml:space="preserve">
الأعلام،(دار العلم للملايين - بيروت،2002،ط 15،ج 5،ص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2026-07-28T19:22:04+03:00</dcterms:created>
  <dcterms:modified xsi:type="dcterms:W3CDTF">2026-07-28T19:22:04+03:00</dcterms:modified>
</cp:coreProperties>
</file>

<file path=docProps/custom.xml><?xml version="1.0" encoding="utf-8"?>
<Properties xmlns="http://schemas.openxmlformats.org/officeDocument/2006/custom-properties" xmlns:vt="http://schemas.openxmlformats.org/officeDocument/2006/docPropsVTypes"/>
</file>