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جعفر القلعي
</w:t>
      </w:r>
    </w:p>
    <w:p>
      <w:pPr>
        <w:jc w:val="start"/>
        <w:bidi/>
      </w:pPr>
      <w:r>
        <w:rPr>
          <w:rFonts w:ascii="arial" w:hAnsi="arial" w:eastAsia="arial" w:cs="arial"/>
          <w:sz w:val="28"/>
          <w:szCs w:val="28"/>
          <w:b w:val="1"/>
          <w:bCs w:val="1"/>
          <w:rtl/>
        </w:rPr>
        <w:t xml:space="preserve">أبو جعفر القلعي
</w:t>
      </w:r>
    </w:p>
    <w:p>
      <w:pPr/>
      <w:r>
        <w:rPr/>
        <w:t xml:space="preserve">أبو جعفر القلعي  عمر بن علي بن البذوخ القلعي المغربي، أبو جعفر: عالم بالأدوية المركبة والمفردة، له معرفة بالطب. أصله من المغرب. سكن دمشق، وتوفي بها. عاش طويلا وعمى في آخر عمره. من كتبه (حواش على قانون ابن سينا) و(شرح فصول أبقراط) أرجوزة، و(ذخيرة الألباء) في الباءة. </w:t>
      </w:r>
    </w:p>
    <w:p>
      <w:pPr>
        <w:jc w:val="start"/>
        <w:bidi/>
      </w:pPr>
      <w:r>
        <w:rPr>
          <w:sz w:val="24"/>
          <w:szCs w:val="24"/>
          <w:b w:val="1"/>
          <w:bCs w:val="1"/>
          <w:rtl/>
        </w:rPr>
        <w:t xml:space="preserve">
الأعلام،(دار العلم للملايين - بيروت،2002،ط 15،ج 5،ص 55)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2026-07-28T10:14:27+03:00</dcterms:created>
  <dcterms:modified xsi:type="dcterms:W3CDTF">2026-07-28T10:14:27+03:00</dcterms:modified>
</cp:coreProperties>
</file>

<file path=docProps/custom.xml><?xml version="1.0" encoding="utf-8"?>
<Properties xmlns="http://schemas.openxmlformats.org/officeDocument/2006/custom-properties" xmlns:vt="http://schemas.openxmlformats.org/officeDocument/2006/docPropsVTypes"/>
</file>