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الهباري
</w:t>
      </w:r>
    </w:p>
    <w:p>
      <w:pPr>
        <w:jc w:val="start"/>
        <w:bidi/>
      </w:pPr>
      <w:r>
        <w:rPr>
          <w:rFonts w:ascii="arial" w:hAnsi="arial" w:eastAsia="arial" w:cs="arial"/>
          <w:sz w:val="28"/>
          <w:szCs w:val="28"/>
          <w:b w:val="1"/>
          <w:bCs w:val="1"/>
          <w:rtl/>
        </w:rPr>
        <w:t xml:space="preserve">الهباري
</w:t>
      </w:r>
    </w:p>
    <w:p>
      <w:pPr/>
      <w:r>
        <w:rPr/>
        <w:t xml:space="preserve">الهباري  عمر بن عبد الله بن عمر بن عبد العزيز الهباري القرشي، أبو المنذر: ثالث الأمراء أصحاب (السند) من هذه الأسرة. وقاعدتهم (المنصورة). كان في أيام أبيه من الولاة، واستقل بالأمر بعد وفاته (نحو سنة 280هـ) وزاره المسعودي (المؤرخ) سنة 303 بالمنصورة، ووصف ضخامة ملكه، وقال: يضاف إلى المنصورة ثلثمائة ألف قرية، وعنده ثمانون فيلا حربية، رسم كل فيل أن يكون حوله خمسمائة راجل. وقال: سميت (المنصورة) باسم منصور بن جمهور، عامل بني أمية. </w:t>
      </w:r>
    </w:p>
    <w:p>
      <w:pPr>
        <w:jc w:val="start"/>
        <w:bidi/>
      </w:pPr>
      <w:r>
        <w:rPr>
          <w:sz w:val="24"/>
          <w:szCs w:val="24"/>
          <w:b w:val="1"/>
          <w:bCs w:val="1"/>
          <w:rtl/>
        </w:rPr>
        <w:t xml:space="preserve">
الأعلام،(دار العلم للملايين - بيروت،2002،ط 15،ج 5،ص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2026-07-29T01:59:56+03:00</dcterms:created>
  <dcterms:modified xsi:type="dcterms:W3CDTF">2026-07-29T01:59:56+03:00</dcterms:modified>
</cp:coreProperties>
</file>

<file path=docProps/custom.xml><?xml version="1.0" encoding="utf-8"?>
<Properties xmlns="http://schemas.openxmlformats.org/officeDocument/2006/custom-properties" xmlns:vt="http://schemas.openxmlformats.org/officeDocument/2006/docPropsVTypes"/>
</file>