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الخيام
</w:t>
      </w:r>
    </w:p>
    <w:p>
      <w:pPr>
        <w:jc w:val="start"/>
        <w:bidi/>
      </w:pPr>
      <w:r>
        <w:rPr>
          <w:rFonts w:ascii="arial" w:hAnsi="arial" w:eastAsia="arial" w:cs="arial"/>
          <w:sz w:val="28"/>
          <w:szCs w:val="28"/>
          <w:b w:val="1"/>
          <w:bCs w:val="1"/>
          <w:rtl/>
        </w:rPr>
        <w:t xml:space="preserve">عمر الخيام
</w:t>
      </w:r>
    </w:p>
    <w:p>
      <w:pPr/>
      <w:r>
        <w:rPr/>
        <w:t xml:space="preserve">عمر الخيام  عمر بن إبراهيم الخيامي النيسابوري، أبو الفتح: شاعر فيلسوف فارسي، مستعرب. من أهل نيسابور، مولدا ووفاة. كان عالما بالرياضيات والفلك واللغة والفقه والتاريخ. له شعر عربي، وتصانيف عربية. بقيت من كتبه رسائل، منها (شرح مايشكل من مصادرات إقليدس- ط) و (مقالة في الجبر والمقابلة- ط) و (الاحتيال لمعرفة مقدراري الذهب والفضة في جسم مركب منهما- خ) و (الخلق والتكيف- ط) بعث به إلى القاضي أبي نصر النسوي. وبلغت شهرة الخيام ذروتها بمقطعاته الشعرية (الرباعيات) نظمها شعرا بالفارسية، وترجمت إلى العربية واللاتينية والفرنسية والإنكليزية والألمانية والإيطالية والدنمركية وغيرها. وعرف قدره في أيامه، فقربه الملوك والرؤساء. وكان السلطان ملكشاه السلجوقي ينزله منزلة الندماء، والخاقان شمس الملوك ببخارى يعظمه ويجلسه معه على سريره. وقدح أهل زمانه في عقيدته، فحج، وأقام مدة ببغداد، وعاد يتقي الناس بالتقوى. وكان من خاصة خلصائه في شبابه (نظام الملك) و (حسن الصباح) واتفق معهما على أن من ينال منهم رتبة يساعد صاحبيه، فلما استوزر نظام الملك جعل لعمر عشرة آلاف دينار في السنة، من دخل نيسابور. ولكن السلطان ما عتم أن رفع الحساب من عهدة نظام الملك. قال البيهقي، وكان معاصرا للخيام، وقد رآه وعرفه بالإمام وبحجة الحق: إنه تلو ابن سينا في أجزاء علوم الحكمة، وكان يتخلل بخلال من ذهب. وفي الكامل لابن الأثير: كان الخيام أحد المنجمين الذين عملوا (الرصد) للسلطان ملكشاه السلجوقي سنة 467هـ. وقال القفطي في نعته: إمام خراسان، وعلامة الزمان، يعلم علم يونان، ويحث على طلب الواحد الديان، بتطهير الحركات البدنية لتنزيه النفس الإنسانية. وأورد أبياتا من شعره العربي. ونقل القمي أن الخيام كان أحد الحكماء الثمانية في عصر السلطان جلال الدين (ملكشاه) وهو الذين وضعوا التاريخ الذي مبدأه نزول الشمس أول الحمل وعليه كان بناء التقاويم. وأكثر كتاب العرب المعاصرون وغيرهم، من الكتابة عنه، فمن ذلك بالعربية (عمر الخيام- ط) لعبد الحق فاضل. ومن التحف الفنية، باللغة الإنكليزية، طبعة خاصة أصدرتها مطابع بيشوب وجاريت، بباريس، سنة 1923 لمجموعة من ترجمات قطع منها، ومنظومات بمعناها، لبيرون، وفيتس جيرالد، وغيرهما، محلاة بصورة ملونة ونقوش وكتابات متقنة كل الإتقان، سميت ’’Life's Echoes’’ أصداء الحياة. وممن نقل (الرباعيات) إلى العربية شعرا: وديع البستاني، وأحمد الصافي النجفي، وأحمد رامي. واستفدت كثيرا من ترجمتها (النثرية) لجميل صدقي الزهاوي، فانه التزم بها النقل الحرفي عن الفارسية مناشره، ثم نظمها كغيره بشئ من التصرف.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2026-09-30T20:11:56+03:00</dcterms:created>
  <dcterms:modified xsi:type="dcterms:W3CDTF">2026-09-30T20:11:56+03:00</dcterms:modified>
</cp:coreProperties>
</file>

<file path=docProps/custom.xml><?xml version="1.0" encoding="utf-8"?>
<Properties xmlns="http://schemas.openxmlformats.org/officeDocument/2006/custom-properties" xmlns:vt="http://schemas.openxmlformats.org/officeDocument/2006/docPropsVTypes"/>
</file>