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موسى
</w:t>
      </w:r>
    </w:p>
    <w:p>
      <w:pPr>
        <w:jc w:val="start"/>
        <w:bidi/>
      </w:pPr>
      <w:r>
        <w:rPr>
          <w:rFonts w:ascii="arial" w:hAnsi="arial" w:eastAsia="arial" w:cs="arial"/>
          <w:sz w:val="28"/>
          <w:szCs w:val="28"/>
          <w:b w:val="1"/>
          <w:bCs w:val="1"/>
          <w:rtl/>
        </w:rPr>
        <w:t xml:space="preserve">ابن موسى
</w:t>
      </w:r>
    </w:p>
    <w:p>
      <w:pPr/>
      <w:r>
        <w:rPr/>
        <w:t xml:space="preserve">ابن موسى  علي بن موسى المدني: متفقه متأدب، له اشتغال بالتاريخ، من أهل المدينة. كان فيها إمام المالكية الثاني في المسجد النبوي. وكان من الموظفين البارزين في ديوان محافظها. له نظم ركيك وردت قصيدة منه في (مرآة الحرمين) (2: 265 - 268) نظمها سنة 1295 هـ. وله رسالة في (وصف المدينة المنورة - ط) على طريقة الخطط، في مجموعة نشرها الاستاذ حمد الجاسر، سماها (رسائل في تاريخ المدينة). </w:t>
      </w:r>
    </w:p>
    <w:p>
      <w:pPr>
        <w:jc w:val="start"/>
        <w:bidi/>
      </w:pPr>
      <w:r>
        <w:rPr>
          <w:sz w:val="24"/>
          <w:szCs w:val="24"/>
          <w:b w:val="1"/>
          <w:bCs w:val="1"/>
          <w:rtl/>
        </w:rPr>
        <w:t xml:space="preserve">
الأعلام،(دار العلم للملايين - بيروت،2002،ط 15،ج 5،ص 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2026-09-30T16:39:57+03:00</dcterms:created>
  <dcterms:modified xsi:type="dcterms:W3CDTF">2026-09-30T16:39:57+03:00</dcterms:modified>
</cp:coreProperties>
</file>

<file path=docProps/custom.xml><?xml version="1.0" encoding="utf-8"?>
<Properties xmlns="http://schemas.openxmlformats.org/officeDocument/2006/custom-properties" xmlns:vt="http://schemas.openxmlformats.org/officeDocument/2006/docPropsVTypes"/>
</file>