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المشعشع
</w:t>
      </w:r>
    </w:p>
    <w:p>
      <w:pPr>
        <w:jc w:val="start"/>
        <w:bidi/>
      </w:pPr>
      <w:r>
        <w:rPr>
          <w:rFonts w:ascii="arial" w:hAnsi="arial" w:eastAsia="arial" w:cs="arial"/>
          <w:sz w:val="28"/>
          <w:szCs w:val="28"/>
          <w:b w:val="1"/>
          <w:bCs w:val="1"/>
          <w:rtl/>
        </w:rPr>
        <w:t xml:space="preserve">ابن المشعشع
</w:t>
      </w:r>
    </w:p>
    <w:p>
      <w:pPr/>
      <w:r>
        <w:rPr/>
        <w:t xml:space="preserve">ابن المشعشع  علي بن محمد بن فلاح، من سلالة الإمام موسى الكاظم: من أمراء دولة (المشعشعين) في الأهواز والحويزة. ويلقبه صاحب الضوء اللامع بالخارجي (الشعشاع) ويدعوه غيره بالمولي علي. اشترك في ما كان بين أبيه وجيوش التركمان المتسلطين على العراق، من حروب. وولى الأمر في أواخر أيام أبيه. وحمل الناس على الاعتقاد بأن روح الإمام علي قد حلت فيه، ثم ادعى الألوهية، وأغار على المشاهد المقدسة في العراق، فنهبها، واعترض الحجاج سنة 857هـ ، فأخذ المحمل ونهب الأموال والدواب والجمال. واستمر في إلحاده وظلمه إلأى أن أصابه سهم في بعض الأتراك في (بهبهان) بالقرب من جبل (كيلويه) فمات، في حياة أبيه. </w:t>
      </w:r>
    </w:p>
    <w:p>
      <w:pPr>
        <w:jc w:val="start"/>
        <w:bidi/>
      </w:pPr>
      <w:r>
        <w:rPr>
          <w:sz w:val="24"/>
          <w:szCs w:val="24"/>
          <w:b w:val="1"/>
          <w:bCs w:val="1"/>
          <w:rtl/>
        </w:rPr>
        <w:t xml:space="preserve">
الأعلام،(دار العلم للملايين - بيروت،2002،ط 15،ج 5،ص 9)</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2026-09-30T14:01:36+03:00</dcterms:created>
  <dcterms:modified xsi:type="dcterms:W3CDTF">2026-09-30T14:01:36+03:00</dcterms:modified>
</cp:coreProperties>
</file>

<file path=docProps/custom.xml><?xml version="1.0" encoding="utf-8"?>
<Properties xmlns="http://schemas.openxmlformats.org/officeDocument/2006/custom-properties" xmlns:vt="http://schemas.openxmlformats.org/officeDocument/2006/docPropsVTypes"/>
</file>