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لدين الله
</w:t>
      </w:r>
    </w:p>
    <w:p>
      <w:pPr>
        <w:jc w:val="start"/>
        <w:bidi/>
      </w:pPr>
      <w:r>
        <w:rPr>
          <w:rFonts w:ascii="arial" w:hAnsi="arial" w:eastAsia="arial" w:cs="arial"/>
          <w:sz w:val="28"/>
          <w:szCs w:val="28"/>
          <w:b w:val="1"/>
          <w:bCs w:val="1"/>
          <w:rtl/>
        </w:rPr>
        <w:t xml:space="preserve">المهدي لدين الله
</w:t>
      </w:r>
    </w:p>
    <w:p>
      <w:pPr/>
      <w:r>
        <w:rPr/>
        <w:t xml:space="preserve">المهدي لدين الله  علي بن محمد بن علي بن منصور، من سلالة الناصر ابن الهادي إلى الحق: من أئمة الزيدية في اليمن. ولد في هجرة من قرى (الهان) وكانت دعوته سنة 750هـ ، في مدينة (ثلا) وبويع له بعد وفاة المؤيد بالله يحيى بن حمزة، فافتتح صنعاء، واستولى على صعدة وذمار، وقاتل الباطنية وخرب قراهم، وكانت القوافل تقضي الشهر والشهرين بين صنعاء وظفار، فأمن الطرق، وأزال سبع عشرة إمارة مستقلة، وفلج سنة 772 (أو أصيب بعلة في دماغه) فتولى ابنه محمد (الناصر) شؤون الإمامة. وتوفي المهدي بذمار ونقل إلى صعدة. وكان فقيها مجتهدا، له تصانيف ومختصرات ورسائل. </w:t>
      </w:r>
    </w:p>
    <w:p>
      <w:pPr>
        <w:jc w:val="start"/>
        <w:bidi/>
      </w:pPr>
      <w:r>
        <w:rPr>
          <w:sz w:val="24"/>
          <w:szCs w:val="24"/>
          <w:b w:val="1"/>
          <w:bCs w:val="1"/>
          <w:rtl/>
        </w:rPr>
        <w:t xml:space="preserve">
الأعلام،(دار العلم للملايين - بيروت،2002،ط 15،ج 5،ص 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2026-09-30T13:06:54+03:00</dcterms:created>
  <dcterms:modified xsi:type="dcterms:W3CDTF">2026-09-30T13:06:54+03:00</dcterms:modified>
</cp:coreProperties>
</file>

<file path=docProps/custom.xml><?xml version="1.0" encoding="utf-8"?>
<Properties xmlns="http://schemas.openxmlformats.org/officeDocument/2006/custom-properties" xmlns:vt="http://schemas.openxmlformats.org/officeDocument/2006/docPropsVTypes"/>
</file>