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النظاري
</w:t>
      </w:r>
    </w:p>
    <w:p>
      <w:pPr>
        <w:jc w:val="start"/>
        <w:bidi/>
      </w:pPr>
      <w:r>
        <w:rPr>
          <w:rFonts w:ascii="arial" w:hAnsi="arial" w:eastAsia="arial" w:cs="arial"/>
          <w:sz w:val="28"/>
          <w:szCs w:val="28"/>
          <w:b w:val="1"/>
          <w:bCs w:val="1"/>
          <w:rtl/>
        </w:rPr>
        <w:t xml:space="preserve">النظاري
</w:t>
      </w:r>
    </w:p>
    <w:p>
      <w:pPr/>
      <w:r>
        <w:rPr/>
        <w:t xml:space="preserve">النظاري  علي بن عبد الرحمن بن محمد النظاري: أمير. كان صاحب بعدان (في اليمن)، وحصنه (جب) يضرب به المثل في الارتفاع، ورثه أبوه عن جده أحد أمراء السلطان عامر ابن عبد الوهاب، واستمر في يده وأيدي أولاده. وكان علي يهادن الحكام ويهاديهم، إلى أن ولى باليمن (محمود باشا) وهو جبار عنيد (ثارت بسببه الفتنة بمكة سنة 958هـ) فخاصمه، وحاصر حصنه ثمانية أشهر. ثم تصالحا على ان يكون للنظاري سنجق. وحلف محمود باشا على المصحف بالوفاء. فخرج الأمير النظاري هو وولده وجماعته وهو نحو 200 في موكب عظيم، فقتلهم محمود باشا عن آخرهم ودخل الحصن فقتل جميع من فيه. </w:t>
      </w:r>
    </w:p>
    <w:p>
      <w:pPr>
        <w:jc w:val="start"/>
        <w:bidi/>
      </w:pPr>
      <w:r>
        <w:rPr>
          <w:sz w:val="24"/>
          <w:szCs w:val="24"/>
          <w:b w:val="1"/>
          <w:bCs w:val="1"/>
          <w:rtl/>
        </w:rPr>
        <w:t xml:space="preserve">
الأعلام،(دار العلم للملايين - بيروت،2002،ط 15،ج 4،ص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2026-09-30T04:55:22+03:00</dcterms:created>
  <dcterms:modified xsi:type="dcterms:W3CDTF">2026-09-30T04:55:22+03:00</dcterms:modified>
</cp:coreProperties>
</file>

<file path=docProps/custom.xml><?xml version="1.0" encoding="utf-8"?>
<Properties xmlns="http://schemas.openxmlformats.org/officeDocument/2006/custom-properties" xmlns:vt="http://schemas.openxmlformats.org/officeDocument/2006/docPropsVTypes"/>
</file>