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الحر
</w:t>
      </w:r>
    </w:p>
    <w:p>
      <w:pPr>
        <w:jc w:val="start"/>
        <w:bidi/>
      </w:pPr>
      <w:r>
        <w:rPr>
          <w:rFonts w:ascii="arial" w:hAnsi="arial" w:eastAsia="arial" w:cs="arial"/>
          <w:sz w:val="28"/>
          <w:szCs w:val="28"/>
          <w:b w:val="1"/>
          <w:bCs w:val="1"/>
          <w:rtl/>
        </w:rPr>
        <w:t xml:space="preserve">أبو الحر
</w:t>
      </w:r>
    </w:p>
    <w:p>
      <w:pPr/>
      <w:r>
        <w:rPr/>
        <w:t xml:space="preserve">أبو الحر  علي بن الحصين بن مالك بن الخشخاش العنبري التميمي، أبو الحر: من فقهاء الإباضية. كانت له ثروة في البصرة، وسكن مكة. وجاهر فيها أيام (مروان بن محمد) بمناصرة (طالب الحق) وكان هذا قد خلع طاعة مروان، وبويع له بالخلافة في اليمن. فكتب مروان إلى عامله بمكة، يأمر بالقبض على (أبي الحر) فاعتقل وأوثق بالحديد وأشخص إلى المدينة، وهو شيخ كبير. وأدركه في الطريق بعض أنصار طالب الحق، فأنقذوه وعادوا به إلى مكة، مستترين. ولما دخلا أبو حمزة (المختار بن عوف) كان (أبو الحر) من رجاله. وقتل في فتنته بمكة. </w:t>
      </w:r>
    </w:p>
    <w:p>
      <w:pPr>
        <w:jc w:val="start"/>
        <w:bidi/>
      </w:pPr>
      <w:r>
        <w:rPr>
          <w:sz w:val="24"/>
          <w:szCs w:val="24"/>
          <w:b w:val="1"/>
          <w:bCs w:val="1"/>
          <w:rtl/>
        </w:rPr>
        <w:t xml:space="preserve">
الأعلام،(دار العلم للملايين - بيروت،2002،ط 15،ج 4،ص 282)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2026-09-30T01:45:10+03:00</dcterms:created>
  <dcterms:modified xsi:type="dcterms:W3CDTF">2026-09-30T01:45:10+03:00</dcterms:modified>
</cp:coreProperties>
</file>

<file path=docProps/custom.xml><?xml version="1.0" encoding="utf-8"?>
<Properties xmlns="http://schemas.openxmlformats.org/officeDocument/2006/custom-properties" xmlns:vt="http://schemas.openxmlformats.org/officeDocument/2006/docPropsVTypes"/>
</file>